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343AC4" w:rsidP="00087CF5">
      <w:pPr>
        <w:spacing w:line="240" w:lineRule="auto"/>
        <w:ind w:left="720" w:hanging="720"/>
        <w:outlineLvl w:val="0"/>
        <w:rPr>
          <w:lang w:val="ro-RO"/>
        </w:rPr>
      </w:pPr>
      <w:r w:rsidRPr="00343AC4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4B621D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343AC4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Pr="004254FA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>
                    <w:rPr>
                      <w:sz w:val="22"/>
                    </w:rPr>
                    <w:t>с.</w:t>
                  </w:r>
                  <w:r w:rsidR="0097763F" w:rsidRPr="004254FA"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Болохан</w:t>
                  </w:r>
                  <w:proofErr w:type="spellEnd"/>
                  <w:r w:rsidR="0097763F" w:rsidRPr="004254FA">
                    <w:rPr>
                      <w:sz w:val="22"/>
                    </w:rPr>
                    <w:t xml:space="preserve">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343AC4">
        <w:rPr>
          <w:noProof/>
          <w:sz w:val="20"/>
        </w:rPr>
        <w:pict>
          <v:shape id="_x0000_s1026" type="#_x0000_t202" style="position:absolute;left:0;text-align:left;margin-left:-24pt;margin-top:-36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5825C1" w:rsidRDefault="005825C1" w:rsidP="005825C1">
                  <w:pPr>
                    <w:spacing w:line="240" w:lineRule="auto"/>
                    <w:rPr>
                      <w:sz w:val="22"/>
                      <w:lang w:val="ro-RO"/>
                    </w:rPr>
                  </w:pP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A0763B" w:rsidRPr="00AF5939" w:rsidRDefault="00343AC4" w:rsidP="00AF5939">
      <w:pPr>
        <w:tabs>
          <w:tab w:val="left" w:pos="2400"/>
        </w:tabs>
        <w:spacing w:line="240" w:lineRule="auto"/>
        <w:rPr>
          <w:lang w:val="ro-RO"/>
        </w:rPr>
      </w:pPr>
      <w:r w:rsidRPr="00343AC4">
        <w:rPr>
          <w:noProof/>
          <w:sz w:val="20"/>
        </w:rPr>
        <w:pict>
          <v:line id="_x0000_s1029" style="position:absolute;z-index:251659264" from="18pt,.5pt" to="438pt,.5pt" strokeweight="2.25pt"/>
        </w:pict>
      </w:r>
      <w:r w:rsidR="00F83368">
        <w:rPr>
          <w:lang w:val="ro-RO"/>
        </w:rPr>
        <w:t xml:space="preserve">                                        </w:t>
      </w:r>
    </w:p>
    <w:p w:rsidR="008D3A93" w:rsidRPr="009807E2" w:rsidRDefault="00A0763B" w:rsidP="00515708">
      <w:pPr>
        <w:tabs>
          <w:tab w:val="left" w:pos="2400"/>
        </w:tabs>
        <w:spacing w:line="240" w:lineRule="auto"/>
        <w:ind w:left="708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D E C I Z I A  nr.</w:t>
      </w:r>
      <w:r w:rsidR="00515708">
        <w:rPr>
          <w:b/>
          <w:sz w:val="24"/>
          <w:lang w:val="ro-RO"/>
        </w:rPr>
        <w:t>6/</w:t>
      </w:r>
      <w:r w:rsidR="008A300B">
        <w:rPr>
          <w:b/>
          <w:sz w:val="24"/>
          <w:lang w:val="ro-RO"/>
        </w:rPr>
        <w:t>5</w:t>
      </w:r>
    </w:p>
    <w:p w:rsidR="00A04692" w:rsidRPr="00A04692" w:rsidRDefault="004B621D" w:rsidP="00515708">
      <w:pPr>
        <w:tabs>
          <w:tab w:val="left" w:pos="2400"/>
        </w:tabs>
        <w:spacing w:line="240" w:lineRule="auto"/>
        <w:ind w:left="708"/>
        <w:jc w:val="center"/>
        <w:rPr>
          <w:b/>
          <w:sz w:val="24"/>
          <w:lang w:val="ro-RO"/>
        </w:rPr>
      </w:pPr>
      <w:r w:rsidRPr="009807E2">
        <w:rPr>
          <w:b/>
          <w:sz w:val="24"/>
          <w:lang w:val="ro-RO"/>
        </w:rPr>
        <w:t xml:space="preserve">din </w:t>
      </w:r>
      <w:r w:rsidR="00515708">
        <w:rPr>
          <w:b/>
          <w:sz w:val="24"/>
          <w:lang w:val="ro-RO"/>
        </w:rPr>
        <w:t xml:space="preserve">   26 </w:t>
      </w:r>
      <w:r w:rsidR="003460D7">
        <w:rPr>
          <w:b/>
          <w:sz w:val="24"/>
          <w:lang w:val="ro-RO"/>
        </w:rPr>
        <w:t xml:space="preserve"> </w:t>
      </w:r>
      <w:r w:rsidR="00515708">
        <w:rPr>
          <w:b/>
          <w:sz w:val="24"/>
          <w:lang w:val="ro-RO"/>
        </w:rPr>
        <w:t>noiembrie</w:t>
      </w:r>
      <w:r w:rsidR="003460D7">
        <w:rPr>
          <w:b/>
          <w:sz w:val="24"/>
          <w:lang w:val="ro-RO"/>
        </w:rPr>
        <w:t xml:space="preserve">  </w:t>
      </w:r>
      <w:r w:rsidR="00292762">
        <w:rPr>
          <w:b/>
          <w:sz w:val="24"/>
          <w:lang w:val="ro-RO"/>
        </w:rPr>
        <w:t>2018</w:t>
      </w:r>
    </w:p>
    <w:p w:rsidR="006E5351" w:rsidRDefault="003460D7" w:rsidP="003460D7">
      <w:pPr>
        <w:spacing w:line="240" w:lineRule="auto"/>
        <w:rPr>
          <w:color w:val="FFFFFF"/>
          <w:sz w:val="24"/>
          <w:u w:val="single"/>
          <w:lang w:val="ro-RO"/>
        </w:rPr>
      </w:pPr>
      <w:r>
        <w:rPr>
          <w:sz w:val="24"/>
          <w:lang w:val="ro-RO"/>
        </w:rPr>
        <w:t>,,</w:t>
      </w:r>
      <w:r w:rsidRPr="00515708">
        <w:rPr>
          <w:b/>
          <w:sz w:val="24"/>
          <w:lang w:val="ro-RO"/>
        </w:rPr>
        <w:t>Cu privire la aprobarea şi punerea</w:t>
      </w:r>
      <w:r w:rsidRPr="00515708">
        <w:rPr>
          <w:b/>
          <w:sz w:val="24"/>
          <w:lang w:val="ro-RO"/>
        </w:rPr>
        <w:br/>
        <w:t xml:space="preserve"> în aplicare a taxelor locale pentru anul 2019,,</w:t>
      </w:r>
      <w:r>
        <w:rPr>
          <w:color w:val="FFFFFF"/>
          <w:sz w:val="24"/>
          <w:u w:val="single"/>
          <w:lang w:val="ro-RO"/>
        </w:rPr>
        <w:t>20</w:t>
      </w:r>
    </w:p>
    <w:p w:rsidR="003460D7" w:rsidRPr="003460D7" w:rsidRDefault="003460D7" w:rsidP="003460D7">
      <w:pPr>
        <w:spacing w:line="240" w:lineRule="auto"/>
        <w:rPr>
          <w:sz w:val="24"/>
          <w:u w:val="single"/>
          <w:lang w:val="ro-RO"/>
        </w:rPr>
      </w:pPr>
      <w:r>
        <w:rPr>
          <w:color w:val="FFFFFF"/>
          <w:sz w:val="24"/>
          <w:u w:val="single"/>
          <w:lang w:val="ro-RO"/>
        </w:rPr>
        <w:t>215</w:t>
      </w:r>
    </w:p>
    <w:p w:rsidR="00281A84" w:rsidRDefault="00281A84" w:rsidP="00281A84">
      <w:pPr>
        <w:spacing w:line="240" w:lineRule="auto"/>
        <w:ind w:firstLine="708"/>
        <w:jc w:val="both"/>
        <w:rPr>
          <w:color w:val="000000"/>
          <w:sz w:val="24"/>
          <w:lang w:val="ro-MO"/>
        </w:rPr>
      </w:pPr>
      <w:r w:rsidRPr="00686CF5">
        <w:rPr>
          <w:color w:val="000000"/>
          <w:sz w:val="24"/>
          <w:lang w:val="ro-MO"/>
        </w:rPr>
        <w:t>În conformitate cu Titlul VII ,,Taxele locale’’ din Codul fiscal,</w:t>
      </w:r>
      <w:r w:rsidR="006E5351">
        <w:rPr>
          <w:color w:val="000000"/>
          <w:sz w:val="24"/>
          <w:lang w:val="ro-MO"/>
        </w:rPr>
        <w:t>art.14 (2)lit.,,a,,</w:t>
      </w:r>
      <w:r w:rsidRPr="00686CF5">
        <w:rPr>
          <w:color w:val="000000"/>
          <w:sz w:val="24"/>
          <w:lang w:val="ro-MO"/>
        </w:rPr>
        <w:t xml:space="preserve"> </w:t>
      </w:r>
      <w:r w:rsidR="006E5351">
        <w:rPr>
          <w:color w:val="000000"/>
          <w:sz w:val="24"/>
          <w:lang w:val="ro-MO"/>
        </w:rPr>
        <w:t xml:space="preserve">al Legii </w:t>
      </w:r>
      <w:r w:rsidRPr="00686CF5">
        <w:rPr>
          <w:color w:val="000000"/>
          <w:sz w:val="24"/>
          <w:lang w:val="ro-MO"/>
        </w:rPr>
        <w:t>privind administrația publică locală nr. 436-XVI din 28 decembrie 2006,</w:t>
      </w:r>
      <w:r w:rsidR="006E5351">
        <w:rPr>
          <w:color w:val="000000"/>
          <w:sz w:val="24"/>
          <w:lang w:val="ro-MO"/>
        </w:rPr>
        <w:t xml:space="preserve"> </w:t>
      </w:r>
      <w:r w:rsidRPr="00686CF5">
        <w:rPr>
          <w:color w:val="000000"/>
          <w:sz w:val="24"/>
          <w:lang w:val="ro-MO"/>
        </w:rPr>
        <w:t xml:space="preserve"> </w:t>
      </w:r>
      <w:r w:rsidR="006E5351">
        <w:rPr>
          <w:color w:val="000000"/>
          <w:sz w:val="24"/>
          <w:lang w:val="ro-MO"/>
        </w:rPr>
        <w:t>art.32 lit.,,b,, al Legii</w:t>
      </w:r>
      <w:r w:rsidRPr="00686CF5">
        <w:rPr>
          <w:color w:val="000000"/>
          <w:sz w:val="24"/>
          <w:lang w:val="ro-MO"/>
        </w:rPr>
        <w:t xml:space="preserve"> </w:t>
      </w:r>
      <w:r w:rsidR="00B13E47">
        <w:rPr>
          <w:color w:val="000000"/>
          <w:sz w:val="24"/>
          <w:lang w:val="ro-MO"/>
        </w:rPr>
        <w:t>privind finanțele publice nr.</w:t>
      </w:r>
      <w:r w:rsidR="006E5351">
        <w:rPr>
          <w:color w:val="000000"/>
          <w:sz w:val="24"/>
          <w:lang w:val="ro-MO"/>
        </w:rPr>
        <w:t>397</w:t>
      </w:r>
      <w:r w:rsidR="00B13E47">
        <w:rPr>
          <w:color w:val="000000"/>
          <w:sz w:val="24"/>
          <w:lang w:val="ro-MO"/>
        </w:rPr>
        <w:t xml:space="preserve"> </w:t>
      </w:r>
      <w:r w:rsidRPr="00686CF5">
        <w:rPr>
          <w:color w:val="000000"/>
          <w:sz w:val="24"/>
          <w:lang w:val="ro-MO"/>
        </w:rPr>
        <w:t>-</w:t>
      </w:r>
      <w:r w:rsidR="00B13E47">
        <w:rPr>
          <w:color w:val="000000"/>
          <w:sz w:val="24"/>
          <w:lang w:val="ro-MO"/>
        </w:rPr>
        <w:t>X</w:t>
      </w:r>
      <w:r w:rsidRPr="00686CF5">
        <w:rPr>
          <w:color w:val="000000"/>
          <w:sz w:val="24"/>
          <w:lang w:val="ro-MO"/>
        </w:rPr>
        <w:t>V din 16.10.2003, Legea finanțelor publice și responsabilității bugetar fiscal nr. 181 din 25.07.2014,</w:t>
      </w:r>
      <w:r w:rsidRPr="00686CF5">
        <w:rPr>
          <w:sz w:val="24"/>
          <w:lang w:val="ro-MO"/>
        </w:rPr>
        <w:t xml:space="preserve"> Legea nr. 235-XVI din 20.06.2006 cu privire la principiile de bază de reglementare a activităţii de întreprinzător,</w:t>
      </w:r>
      <w:r w:rsidR="006E5351">
        <w:rPr>
          <w:sz w:val="24"/>
          <w:lang w:val="ro-MO"/>
        </w:rPr>
        <w:t xml:space="preserve"> </w:t>
      </w:r>
      <w:r w:rsidRPr="00686CF5">
        <w:rPr>
          <w:bCs/>
          <w:sz w:val="24"/>
          <w:lang w:val="ro-MO"/>
        </w:rPr>
        <w:t xml:space="preserve">Legea </w:t>
      </w:r>
      <w:r w:rsidRPr="00686CF5">
        <w:rPr>
          <w:sz w:val="24"/>
          <w:lang w:val="ro-MO"/>
        </w:rPr>
        <w:t xml:space="preserve">privind reglementarea prin autorizare </w:t>
      </w:r>
      <w:r w:rsidRPr="00686CF5">
        <w:rPr>
          <w:bCs/>
          <w:sz w:val="24"/>
          <w:lang w:val="ro-MO"/>
        </w:rPr>
        <w:t>a activităţii de întreprinzătornr. 160  din  22.07.2011,</w:t>
      </w:r>
      <w:r w:rsidR="006E5351">
        <w:rPr>
          <w:bCs/>
          <w:sz w:val="24"/>
          <w:lang w:val="ro-MO"/>
        </w:rPr>
        <w:t xml:space="preserve"> </w:t>
      </w:r>
      <w:r w:rsidRPr="00686CF5">
        <w:rPr>
          <w:color w:val="000000"/>
          <w:sz w:val="24"/>
          <w:lang w:val="ro-MO"/>
        </w:rPr>
        <w:t>Legea cu privire la comerţul interior nr.231 din 23.09.2010, Hotărîrea Guvernului</w:t>
      </w:r>
      <w:r w:rsidRPr="00686CF5">
        <w:rPr>
          <w:sz w:val="24"/>
          <w:lang w:val="ro-MO"/>
        </w:rPr>
        <w:t xml:space="preserve">cu privire la desfăşurarea comerţului cu amănuntul </w:t>
      </w:r>
      <w:r w:rsidRPr="00686CF5">
        <w:rPr>
          <w:bCs/>
          <w:sz w:val="24"/>
          <w:lang w:val="ro-MO"/>
        </w:rPr>
        <w:t>nr. 931  din  08.12.2011,</w:t>
      </w:r>
      <w:r w:rsidRPr="00686CF5">
        <w:rPr>
          <w:color w:val="000000"/>
          <w:sz w:val="24"/>
          <w:lang w:val="ro-MO"/>
        </w:rPr>
        <w:t xml:space="preserve"> av</w:t>
      </w:r>
      <w:r>
        <w:rPr>
          <w:color w:val="000000"/>
          <w:sz w:val="24"/>
          <w:lang w:val="ro-MO"/>
        </w:rPr>
        <w:t>î</w:t>
      </w:r>
      <w:r w:rsidRPr="00686CF5">
        <w:rPr>
          <w:color w:val="000000"/>
          <w:sz w:val="24"/>
          <w:lang w:val="ro-MO"/>
        </w:rPr>
        <w:t xml:space="preserve">zul </w:t>
      </w:r>
      <w:r w:rsidR="006E5351">
        <w:rPr>
          <w:color w:val="000000"/>
          <w:sz w:val="24"/>
          <w:lang w:val="ro-MO"/>
        </w:rPr>
        <w:t xml:space="preserve">pozitiv al </w:t>
      </w:r>
      <w:r w:rsidRPr="00686CF5">
        <w:rPr>
          <w:color w:val="000000"/>
          <w:sz w:val="24"/>
          <w:lang w:val="ro-MO"/>
        </w:rPr>
        <w:t>comisiei de specialitate,</w:t>
      </w:r>
    </w:p>
    <w:p w:rsidR="003460D7" w:rsidRPr="003460D7" w:rsidRDefault="003460D7" w:rsidP="003460D7">
      <w:pPr>
        <w:spacing w:line="240" w:lineRule="auto"/>
        <w:jc w:val="center"/>
        <w:rPr>
          <w:b/>
          <w:i/>
          <w:color w:val="000000"/>
          <w:sz w:val="24"/>
          <w:lang w:val="ro-RO"/>
        </w:rPr>
      </w:pPr>
      <w:r w:rsidRPr="003460D7">
        <w:rPr>
          <w:b/>
          <w:i/>
          <w:color w:val="000000"/>
          <w:sz w:val="24"/>
          <w:lang w:val="ro-RO"/>
        </w:rPr>
        <w:t>Consiliul local Bolohan , DECIDE:</w:t>
      </w:r>
    </w:p>
    <w:p w:rsidR="00281A84" w:rsidRPr="00686CF5" w:rsidRDefault="00281A84" w:rsidP="00281A84">
      <w:pPr>
        <w:spacing w:after="120" w:line="240" w:lineRule="auto"/>
        <w:jc w:val="both"/>
        <w:rPr>
          <w:sz w:val="24"/>
          <w:lang w:val="ro-MO"/>
        </w:rPr>
      </w:pPr>
      <w:r>
        <w:rPr>
          <w:sz w:val="24"/>
          <w:lang w:val="ro-MO"/>
        </w:rPr>
        <w:t xml:space="preserve">1. </w:t>
      </w:r>
      <w:r w:rsidRPr="00686CF5">
        <w:rPr>
          <w:sz w:val="24"/>
          <w:lang w:val="ro-MO"/>
        </w:rPr>
        <w:t>Se stabilesc următoarele  taxe</w:t>
      </w:r>
      <w:r>
        <w:rPr>
          <w:sz w:val="24"/>
          <w:lang w:val="ro-MO"/>
        </w:rPr>
        <w:t xml:space="preserve"> </w:t>
      </w:r>
      <w:r w:rsidRPr="00686CF5">
        <w:rPr>
          <w:sz w:val="24"/>
          <w:lang w:val="ro-MO"/>
        </w:rPr>
        <w:t xml:space="preserve">locale conform titlului VII al Codului fiscal pe teritoriul satului </w:t>
      </w:r>
      <w:r w:rsidR="00B13E47">
        <w:rPr>
          <w:sz w:val="24"/>
          <w:lang w:val="ro-MO"/>
        </w:rPr>
        <w:t>Bolohan</w:t>
      </w:r>
      <w:r>
        <w:rPr>
          <w:sz w:val="24"/>
          <w:lang w:val="ro-MO"/>
        </w:rPr>
        <w:t>a</w:t>
      </w:r>
      <w:r w:rsidRPr="00686CF5">
        <w:rPr>
          <w:sz w:val="24"/>
          <w:lang w:val="ro-MO"/>
        </w:rPr>
        <w:t xml:space="preserve">, începînd cu data de 01.01.2019 </w:t>
      </w:r>
    </w:p>
    <w:p w:rsidR="00281A84" w:rsidRPr="00686CF5" w:rsidRDefault="00281A84" w:rsidP="00281A84">
      <w:pPr>
        <w:spacing w:line="240" w:lineRule="auto"/>
        <w:jc w:val="both"/>
        <w:rPr>
          <w:sz w:val="24"/>
          <w:lang w:val="ro-MO"/>
        </w:rPr>
      </w:pPr>
      <w:r w:rsidRPr="00686CF5">
        <w:rPr>
          <w:sz w:val="24"/>
          <w:lang w:val="ro-MO"/>
        </w:rPr>
        <w:tab/>
        <w:t>-  taxa pentru amenajarea teritoriului</w:t>
      </w:r>
    </w:p>
    <w:p w:rsidR="00281A84" w:rsidRPr="00686CF5" w:rsidRDefault="00281A84" w:rsidP="00281A84">
      <w:pPr>
        <w:spacing w:line="240" w:lineRule="auto"/>
        <w:jc w:val="both"/>
        <w:rPr>
          <w:sz w:val="24"/>
          <w:lang w:val="ro-MO"/>
        </w:rPr>
      </w:pPr>
      <w:r w:rsidRPr="00686CF5">
        <w:rPr>
          <w:sz w:val="24"/>
          <w:lang w:val="ro-MO"/>
        </w:rPr>
        <w:tab/>
        <w:t>-  taxa pentru unităţile comerciale şi/sau de prestări servicii.</w:t>
      </w:r>
    </w:p>
    <w:p w:rsidR="00281A84" w:rsidRPr="00686CF5" w:rsidRDefault="00281A84" w:rsidP="00281A84">
      <w:pPr>
        <w:spacing w:line="240" w:lineRule="auto"/>
        <w:jc w:val="both"/>
        <w:rPr>
          <w:sz w:val="24"/>
          <w:lang w:val="ro-MO"/>
        </w:rPr>
      </w:pPr>
      <w:r w:rsidRPr="00686CF5">
        <w:rPr>
          <w:sz w:val="24"/>
          <w:lang w:val="ro-MO"/>
        </w:rPr>
        <w:t>2.Se stabilesc</w:t>
      </w:r>
      <w:r w:rsidR="00515708">
        <w:rPr>
          <w:sz w:val="24"/>
          <w:lang w:val="ro-MO"/>
        </w:rPr>
        <w:t xml:space="preserve"> taxa pentru unitățile comerciale și/sau de prestări servicii și cotele acesteia, conform anexei nr.2</w:t>
      </w:r>
      <w:r w:rsidRPr="00686CF5">
        <w:rPr>
          <w:sz w:val="24"/>
          <w:lang w:val="ro-MO"/>
        </w:rPr>
        <w:t xml:space="preserve">  </w:t>
      </w:r>
    </w:p>
    <w:p w:rsidR="00281A84" w:rsidRPr="00686CF5" w:rsidRDefault="00281A84" w:rsidP="00515708">
      <w:pPr>
        <w:spacing w:line="240" w:lineRule="auto"/>
        <w:jc w:val="both"/>
        <w:rPr>
          <w:sz w:val="24"/>
          <w:lang w:val="ro-MO"/>
        </w:rPr>
      </w:pPr>
      <w:r w:rsidRPr="00686CF5">
        <w:rPr>
          <w:sz w:val="24"/>
          <w:lang w:val="ro-MO"/>
        </w:rPr>
        <w:t>a</w:t>
      </w:r>
      <w:r w:rsidRPr="00686CF5">
        <w:rPr>
          <w:b/>
          <w:sz w:val="24"/>
          <w:lang w:val="ro-MO"/>
        </w:rPr>
        <w:t>) Taxa pentru amenajarea teritoriului</w:t>
      </w:r>
    </w:p>
    <w:p w:rsidR="00281A84" w:rsidRPr="00686CF5" w:rsidRDefault="00281A84" w:rsidP="00281A84">
      <w:pPr>
        <w:spacing w:line="240" w:lineRule="auto"/>
        <w:ind w:left="567" w:hanging="141"/>
        <w:jc w:val="both"/>
        <w:rPr>
          <w:b/>
          <w:sz w:val="24"/>
          <w:lang w:val="ro-MO"/>
        </w:rPr>
      </w:pPr>
      <w:r w:rsidRPr="00686CF5">
        <w:rPr>
          <w:sz w:val="24"/>
          <w:lang w:val="ro-MO"/>
        </w:rPr>
        <w:t>- 100</w:t>
      </w:r>
      <w:r>
        <w:rPr>
          <w:sz w:val="24"/>
          <w:lang w:val="ro-MO"/>
        </w:rPr>
        <w:t xml:space="preserve"> lei anual  pentru fiecare salariat, fondator al </w:t>
      </w:r>
      <w:r w:rsidRPr="00686CF5">
        <w:rPr>
          <w:sz w:val="24"/>
          <w:lang w:val="ro-MO"/>
        </w:rPr>
        <w:t>întreprinderii, în cazul în care acesta activiază în întreprinder</w:t>
      </w:r>
      <w:r>
        <w:rPr>
          <w:sz w:val="24"/>
          <w:lang w:val="ro-MO"/>
        </w:rPr>
        <w:t>ea fondată, însă nu este inclus în efectivul  trimestrial</w:t>
      </w:r>
      <w:r w:rsidR="00515708">
        <w:rPr>
          <w:sz w:val="24"/>
          <w:lang w:val="ro-MO"/>
        </w:rPr>
        <w:t xml:space="preserve"> de salariaţi </w:t>
      </w:r>
      <w:r>
        <w:rPr>
          <w:sz w:val="24"/>
          <w:lang w:val="ro-MO"/>
        </w:rPr>
        <w:t>(anexa nr. 1)</w:t>
      </w:r>
    </w:p>
    <w:p w:rsidR="001C39F8" w:rsidRDefault="00281A84" w:rsidP="00515708">
      <w:pPr>
        <w:spacing w:line="240" w:lineRule="auto"/>
        <w:jc w:val="both"/>
        <w:rPr>
          <w:b/>
          <w:sz w:val="24"/>
          <w:lang w:val="ro-MO"/>
        </w:rPr>
      </w:pPr>
      <w:r w:rsidRPr="00686CF5">
        <w:rPr>
          <w:sz w:val="24"/>
          <w:lang w:val="ro-MO"/>
        </w:rPr>
        <w:t>b)</w:t>
      </w:r>
      <w:r w:rsidRPr="00686CF5">
        <w:rPr>
          <w:b/>
          <w:sz w:val="24"/>
          <w:lang w:val="ro-MO"/>
        </w:rPr>
        <w:t xml:space="preserve"> Taxa pentru unităţile </w:t>
      </w:r>
      <w:r w:rsidRPr="00EB5EEF">
        <w:rPr>
          <w:b/>
          <w:sz w:val="24"/>
          <w:lang w:val="ro-MO"/>
        </w:rPr>
        <w:t xml:space="preserve">comerciale şi sau prestaţi  servicii </w:t>
      </w:r>
      <w:r w:rsidR="001C39F8">
        <w:rPr>
          <w:b/>
          <w:sz w:val="24"/>
          <w:lang w:val="ro-MO"/>
        </w:rPr>
        <w:t>:</w:t>
      </w:r>
    </w:p>
    <w:p w:rsidR="001C39F8" w:rsidRPr="001C39F8" w:rsidRDefault="001C39F8" w:rsidP="00515708">
      <w:pPr>
        <w:spacing w:line="240" w:lineRule="auto"/>
        <w:jc w:val="both"/>
        <w:rPr>
          <w:b/>
          <w:sz w:val="24"/>
          <w:lang w:val="ro-RO"/>
        </w:rPr>
      </w:pPr>
      <w:r w:rsidRPr="001C39F8">
        <w:rPr>
          <w:sz w:val="24"/>
          <w:lang w:val="ro-MO"/>
        </w:rPr>
        <w:t>unit</w:t>
      </w:r>
      <w:r w:rsidRPr="001C39F8">
        <w:rPr>
          <w:sz w:val="24"/>
          <w:lang w:val="ro-RO"/>
        </w:rPr>
        <w:t xml:space="preserve">ățile comercialie </w:t>
      </w:r>
      <w:r w:rsidRPr="001C39F8">
        <w:rPr>
          <w:sz w:val="24"/>
          <w:lang w:val="ro-MO"/>
        </w:rPr>
        <w:t>şi /sau prestaţi  serviciicare corespund activităților expuse în anexa nr.1 la</w:t>
      </w:r>
      <w:r>
        <w:rPr>
          <w:b/>
          <w:sz w:val="24"/>
          <w:lang w:val="ro-MO"/>
        </w:rPr>
        <w:t xml:space="preserve"> </w:t>
      </w:r>
      <w:r w:rsidRPr="00686CF5">
        <w:rPr>
          <w:color w:val="000000"/>
          <w:sz w:val="24"/>
          <w:lang w:val="ro-MO"/>
        </w:rPr>
        <w:t>Legea cu privire la comerţul interior nr.231 din 23.09.2010</w:t>
      </w:r>
      <w:r>
        <w:rPr>
          <w:color w:val="000000"/>
          <w:sz w:val="24"/>
          <w:lang w:val="ro-MO"/>
        </w:rPr>
        <w:t xml:space="preserve"> (conform anexei nr.2)</w:t>
      </w:r>
      <w:r w:rsidRPr="00686CF5">
        <w:rPr>
          <w:color w:val="000000"/>
          <w:sz w:val="24"/>
          <w:lang w:val="ro-MO"/>
        </w:rPr>
        <w:t>,</w:t>
      </w:r>
    </w:p>
    <w:p w:rsidR="001C39F8" w:rsidRPr="00EB5EEF" w:rsidRDefault="001C39F8" w:rsidP="00515708">
      <w:pPr>
        <w:spacing w:line="240" w:lineRule="auto"/>
        <w:jc w:val="both"/>
        <w:rPr>
          <w:b/>
          <w:sz w:val="24"/>
          <w:lang w:val="ro-MO"/>
        </w:rPr>
      </w:pPr>
    </w:p>
    <w:p w:rsidR="00281A84" w:rsidRPr="00686CF5" w:rsidRDefault="00281A84" w:rsidP="00281A84">
      <w:pPr>
        <w:pStyle w:val="a9"/>
        <w:numPr>
          <w:ilvl w:val="0"/>
          <w:numId w:val="30"/>
        </w:numPr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o-MO"/>
        </w:rPr>
      </w:pPr>
      <w:r w:rsidRPr="00686CF5">
        <w:rPr>
          <w:rFonts w:ascii="Times New Roman" w:hAnsi="Times New Roman"/>
          <w:sz w:val="24"/>
          <w:szCs w:val="24"/>
          <w:lang w:val="ro-MO"/>
        </w:rPr>
        <w:t>Subiecţii impunerii, baza impozabilă a obiectelor impunetii, modul de calcularea, termenele de achitarea şi de prezentarea dării de seamă la taxele locale stabilite, conform Titlului VII al Codului fiscal.</w:t>
      </w:r>
    </w:p>
    <w:p w:rsidR="00281A84" w:rsidRPr="00686CF5" w:rsidRDefault="00281A84" w:rsidP="00281A84">
      <w:pPr>
        <w:pStyle w:val="a9"/>
        <w:numPr>
          <w:ilvl w:val="0"/>
          <w:numId w:val="3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MO"/>
        </w:rPr>
      </w:pPr>
      <w:r w:rsidRPr="00686CF5">
        <w:rPr>
          <w:rFonts w:ascii="Times New Roman" w:hAnsi="Times New Roman"/>
          <w:sz w:val="24"/>
          <w:szCs w:val="24"/>
          <w:lang w:val="ro-MO"/>
        </w:rPr>
        <w:t>Prezenta decizie în termen de 10 zile</w:t>
      </w:r>
      <w:r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/>
          <w:sz w:val="24"/>
          <w:szCs w:val="24"/>
          <w:lang w:val="ro-MO"/>
        </w:rPr>
        <w:t>din data adoptării, urmeazăa fi adusă la cunoştinţa contribuabililor şi prezentată subdiviziunilor structurale teritoriale din cadrul Serviciului Fiscal de Stat.</w:t>
      </w:r>
    </w:p>
    <w:p w:rsidR="003460D7" w:rsidRDefault="00515708" w:rsidP="00515708">
      <w:pPr>
        <w:spacing w:line="240" w:lineRule="auto"/>
        <w:jc w:val="both"/>
        <w:rPr>
          <w:sz w:val="24"/>
          <w:lang w:val="en-US"/>
        </w:rPr>
      </w:pPr>
      <w:r>
        <w:rPr>
          <w:sz w:val="24"/>
          <w:lang w:val="ro-MO"/>
        </w:rPr>
        <w:t>5.</w:t>
      </w:r>
      <w:r w:rsidR="00281A84" w:rsidRPr="00686CF5">
        <w:rPr>
          <w:sz w:val="24"/>
          <w:lang w:val="ro-MO"/>
        </w:rPr>
        <w:t xml:space="preserve"> Controul executării prezentei decizii se pune pe seama primarului satului </w:t>
      </w:r>
      <w:r>
        <w:rPr>
          <w:sz w:val="24"/>
          <w:lang w:val="ro-MO"/>
        </w:rPr>
        <w:t>Bolohan</w:t>
      </w:r>
      <w:r w:rsidR="00281A84" w:rsidRPr="00686CF5">
        <w:rPr>
          <w:sz w:val="24"/>
          <w:lang w:val="ro-MO"/>
        </w:rPr>
        <w:t>, dl</w:t>
      </w:r>
      <w:r>
        <w:rPr>
          <w:sz w:val="24"/>
          <w:lang w:val="ro-MO"/>
        </w:rPr>
        <w:t xml:space="preserve"> Cotruță Lilian.</w:t>
      </w:r>
    </w:p>
    <w:p w:rsidR="003460D7" w:rsidRPr="001C39F8" w:rsidRDefault="003460D7" w:rsidP="001C39F8">
      <w:pPr>
        <w:spacing w:line="240" w:lineRule="auto"/>
        <w:ind w:firstLine="708"/>
        <w:jc w:val="center"/>
        <w:rPr>
          <w:b/>
          <w:sz w:val="24"/>
          <w:lang w:val="en-US"/>
        </w:rPr>
      </w:pPr>
      <w:r w:rsidRPr="00515708">
        <w:rPr>
          <w:b/>
          <w:sz w:val="24"/>
          <w:lang w:val="en-US"/>
        </w:rPr>
        <w:t xml:space="preserve">Au </w:t>
      </w:r>
      <w:proofErr w:type="spellStart"/>
      <w:proofErr w:type="gramStart"/>
      <w:r w:rsidRPr="00515708">
        <w:rPr>
          <w:b/>
          <w:sz w:val="24"/>
          <w:lang w:val="en-US"/>
        </w:rPr>
        <w:t>votat</w:t>
      </w:r>
      <w:proofErr w:type="spellEnd"/>
      <w:r w:rsidRPr="00515708">
        <w:rPr>
          <w:b/>
          <w:sz w:val="24"/>
          <w:lang w:val="en-US"/>
        </w:rPr>
        <w:t xml:space="preserve"> :</w:t>
      </w:r>
      <w:proofErr w:type="gramEnd"/>
      <w:r w:rsidRPr="00515708">
        <w:rPr>
          <w:b/>
          <w:sz w:val="24"/>
          <w:lang w:val="en-US"/>
        </w:rPr>
        <w:t xml:space="preserve"> </w:t>
      </w:r>
      <w:proofErr w:type="spellStart"/>
      <w:r w:rsidRPr="00515708">
        <w:rPr>
          <w:b/>
          <w:sz w:val="24"/>
          <w:lang w:val="en-US"/>
        </w:rPr>
        <w:t>Pentru</w:t>
      </w:r>
      <w:proofErr w:type="spellEnd"/>
      <w:r w:rsidR="00515708" w:rsidRPr="00515708">
        <w:rPr>
          <w:b/>
          <w:sz w:val="24"/>
          <w:lang w:val="en-US"/>
        </w:rPr>
        <w:t>:</w:t>
      </w:r>
      <w:r w:rsidRPr="00515708">
        <w:rPr>
          <w:b/>
          <w:sz w:val="24"/>
          <w:lang w:val="en-US"/>
        </w:rPr>
        <w:t xml:space="preserve">  </w:t>
      </w:r>
      <w:r w:rsidR="00515708" w:rsidRPr="00515708">
        <w:rPr>
          <w:b/>
          <w:sz w:val="24"/>
          <w:lang w:val="en-US"/>
        </w:rPr>
        <w:t>9</w:t>
      </w:r>
      <w:r w:rsidRPr="00515708">
        <w:rPr>
          <w:b/>
          <w:sz w:val="24"/>
          <w:lang w:val="en-US"/>
        </w:rPr>
        <w:t xml:space="preserve">     , Contra</w:t>
      </w:r>
      <w:r w:rsidR="00515708" w:rsidRPr="00515708">
        <w:rPr>
          <w:b/>
          <w:sz w:val="24"/>
          <w:lang w:val="en-US"/>
        </w:rPr>
        <w:t>:</w:t>
      </w:r>
      <w:r w:rsidRPr="00515708">
        <w:rPr>
          <w:b/>
          <w:sz w:val="24"/>
          <w:lang w:val="en-US"/>
        </w:rPr>
        <w:t xml:space="preserve">   </w:t>
      </w:r>
      <w:r w:rsidR="00515708" w:rsidRPr="00515708">
        <w:rPr>
          <w:b/>
          <w:sz w:val="24"/>
          <w:lang w:val="en-US"/>
        </w:rPr>
        <w:t>0  , S-au abținut:0</w:t>
      </w:r>
    </w:p>
    <w:p w:rsidR="001C39F8" w:rsidRDefault="00E57D5A" w:rsidP="003460D7">
      <w:pPr>
        <w:spacing w:line="240" w:lineRule="auto"/>
        <w:ind w:firstLine="708"/>
        <w:jc w:val="both"/>
        <w:rPr>
          <w:sz w:val="24"/>
          <w:lang w:val="en-US"/>
        </w:rPr>
      </w:pPr>
      <w:proofErr w:type="spellStart"/>
      <w:r w:rsidRPr="00A04692">
        <w:rPr>
          <w:sz w:val="24"/>
          <w:lang w:val="en-US"/>
        </w:rPr>
        <w:t>Preşedintele</w:t>
      </w:r>
      <w:proofErr w:type="spellEnd"/>
      <w:r w:rsidRPr="00A04692">
        <w:rPr>
          <w:sz w:val="24"/>
          <w:lang w:val="en-US"/>
        </w:rPr>
        <w:t xml:space="preserve"> </w:t>
      </w:r>
      <w:proofErr w:type="spellStart"/>
      <w:r w:rsidRPr="00A04692">
        <w:rPr>
          <w:sz w:val="24"/>
          <w:lang w:val="en-US"/>
        </w:rPr>
        <w:t>şedinţei</w:t>
      </w:r>
      <w:proofErr w:type="spellEnd"/>
      <w:r w:rsidRPr="00A04692">
        <w:rPr>
          <w:sz w:val="24"/>
          <w:lang w:val="en-US"/>
        </w:rPr>
        <w:t xml:space="preserve">             </w:t>
      </w:r>
      <w:r w:rsidR="001C39F8">
        <w:rPr>
          <w:sz w:val="24"/>
          <w:lang w:val="en-US"/>
        </w:rPr>
        <w:t xml:space="preserve">                               </w:t>
      </w:r>
      <w:r w:rsidR="00515708">
        <w:rPr>
          <w:sz w:val="24"/>
          <w:lang w:val="en-US"/>
        </w:rPr>
        <w:t xml:space="preserve">  </w:t>
      </w:r>
      <w:r w:rsidR="001C39F8">
        <w:rPr>
          <w:sz w:val="24"/>
          <w:lang w:val="en-US"/>
        </w:rPr>
        <w:t xml:space="preserve"> </w:t>
      </w:r>
      <w:r w:rsidR="00515708">
        <w:rPr>
          <w:sz w:val="24"/>
          <w:lang w:val="en-US"/>
        </w:rPr>
        <w:t xml:space="preserve">   </w:t>
      </w:r>
      <w:proofErr w:type="spellStart"/>
      <w:r w:rsidR="00515708">
        <w:rPr>
          <w:sz w:val="24"/>
          <w:lang w:val="en-US"/>
        </w:rPr>
        <w:t>Zubco</w:t>
      </w:r>
      <w:proofErr w:type="spellEnd"/>
      <w:r w:rsidR="00515708">
        <w:rPr>
          <w:sz w:val="24"/>
          <w:lang w:val="en-US"/>
        </w:rPr>
        <w:t xml:space="preserve"> Lidia</w:t>
      </w:r>
      <w:r w:rsidRPr="00A04692">
        <w:rPr>
          <w:sz w:val="24"/>
          <w:lang w:val="en-US"/>
        </w:rPr>
        <w:t xml:space="preserve">  </w:t>
      </w:r>
      <w:r w:rsidR="004B33F1">
        <w:rPr>
          <w:sz w:val="24"/>
          <w:lang w:val="en-US"/>
        </w:rPr>
        <w:t xml:space="preserve">   </w:t>
      </w:r>
    </w:p>
    <w:p w:rsidR="00E57D5A" w:rsidRPr="00A04692" w:rsidRDefault="001C39F8" w:rsidP="003460D7">
      <w:pPr>
        <w:spacing w:line="240" w:lineRule="auto"/>
        <w:ind w:firstLine="708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Semnat</w:t>
      </w:r>
      <w:proofErr w:type="spellEnd"/>
      <w:r>
        <w:rPr>
          <w:sz w:val="24"/>
          <w:lang w:val="en-US"/>
        </w:rPr>
        <w:t xml:space="preserve"> la data de:        _________________</w:t>
      </w:r>
      <w:r w:rsidR="004B33F1">
        <w:rPr>
          <w:sz w:val="24"/>
          <w:lang w:val="en-US"/>
        </w:rPr>
        <w:t xml:space="preserve">   </w:t>
      </w:r>
    </w:p>
    <w:p w:rsidR="00E57D5A" w:rsidRPr="00A04692" w:rsidRDefault="00E57D5A" w:rsidP="003460D7">
      <w:pPr>
        <w:spacing w:line="240" w:lineRule="auto"/>
        <w:ind w:firstLine="708"/>
        <w:jc w:val="both"/>
        <w:rPr>
          <w:sz w:val="24"/>
          <w:lang w:val="ro-RO"/>
        </w:rPr>
      </w:pPr>
      <w:r w:rsidRPr="00A04692">
        <w:rPr>
          <w:sz w:val="24"/>
          <w:lang w:val="en-US"/>
        </w:rPr>
        <w:t>CONTRASEMNAT:</w:t>
      </w:r>
    </w:p>
    <w:p w:rsidR="00EB5EEF" w:rsidRDefault="00E57D5A" w:rsidP="003460D7">
      <w:pPr>
        <w:spacing w:line="240" w:lineRule="auto"/>
        <w:ind w:firstLine="708"/>
        <w:jc w:val="both"/>
        <w:rPr>
          <w:sz w:val="24"/>
          <w:lang w:val="en-US"/>
        </w:rPr>
      </w:pPr>
      <w:proofErr w:type="spellStart"/>
      <w:r w:rsidRPr="00A04692">
        <w:rPr>
          <w:sz w:val="24"/>
          <w:lang w:val="en-US"/>
        </w:rPr>
        <w:t>Secretarul</w:t>
      </w:r>
      <w:proofErr w:type="spellEnd"/>
      <w:r w:rsidRPr="00A04692">
        <w:rPr>
          <w:sz w:val="24"/>
          <w:lang w:val="en-US"/>
        </w:rPr>
        <w:t xml:space="preserve"> </w:t>
      </w:r>
      <w:proofErr w:type="spellStart"/>
      <w:r w:rsidRPr="00A04692">
        <w:rPr>
          <w:sz w:val="24"/>
          <w:lang w:val="en-US"/>
        </w:rPr>
        <w:t>Consiliului</w:t>
      </w:r>
      <w:proofErr w:type="spellEnd"/>
      <w:r w:rsidRPr="00A04692">
        <w:rPr>
          <w:sz w:val="24"/>
          <w:lang w:val="en-US"/>
        </w:rPr>
        <w:t xml:space="preserve">                   </w:t>
      </w:r>
      <w:r w:rsidR="001C39F8">
        <w:rPr>
          <w:sz w:val="24"/>
          <w:lang w:val="en-US"/>
        </w:rPr>
        <w:t xml:space="preserve">                            </w:t>
      </w:r>
      <w:r w:rsidRPr="00A04692">
        <w:rPr>
          <w:sz w:val="24"/>
          <w:lang w:val="en-US"/>
        </w:rPr>
        <w:t xml:space="preserve"> </w:t>
      </w:r>
      <w:r w:rsidR="003460D7">
        <w:rPr>
          <w:sz w:val="24"/>
          <w:lang w:val="en-US"/>
        </w:rPr>
        <w:t xml:space="preserve"> </w:t>
      </w:r>
      <w:proofErr w:type="spellStart"/>
      <w:r w:rsidRPr="00A04692">
        <w:rPr>
          <w:sz w:val="24"/>
          <w:lang w:val="en-US"/>
        </w:rPr>
        <w:t>Ciobanu</w:t>
      </w:r>
      <w:proofErr w:type="spellEnd"/>
      <w:r w:rsidRPr="00A04692">
        <w:rPr>
          <w:sz w:val="24"/>
          <w:lang w:val="en-US"/>
        </w:rPr>
        <w:t xml:space="preserve"> Tatiana       </w:t>
      </w:r>
    </w:p>
    <w:p w:rsidR="00EB5EEF" w:rsidRDefault="00EB5EEF" w:rsidP="003460D7">
      <w:pPr>
        <w:spacing w:line="240" w:lineRule="auto"/>
        <w:ind w:firstLine="708"/>
        <w:jc w:val="both"/>
        <w:rPr>
          <w:sz w:val="24"/>
          <w:lang w:val="en-US"/>
        </w:rPr>
      </w:pPr>
    </w:p>
    <w:p w:rsidR="005825C1" w:rsidRPr="00A04692" w:rsidRDefault="00E57D5A" w:rsidP="003460D7">
      <w:pPr>
        <w:spacing w:line="240" w:lineRule="auto"/>
        <w:ind w:firstLine="708"/>
        <w:jc w:val="both"/>
        <w:rPr>
          <w:sz w:val="24"/>
          <w:lang w:val="en-US"/>
        </w:rPr>
      </w:pPr>
      <w:r w:rsidRPr="00A04692">
        <w:rPr>
          <w:sz w:val="24"/>
          <w:lang w:val="en-US"/>
        </w:rPr>
        <w:lastRenderedPageBreak/>
        <w:t xml:space="preserve">    </w:t>
      </w:r>
      <w:r w:rsidR="00A04692" w:rsidRPr="00A04692">
        <w:rPr>
          <w:color w:val="545454"/>
          <w:sz w:val="24"/>
          <w:lang w:val="en-US"/>
        </w:rPr>
        <w:t> </w:t>
      </w:r>
    </w:p>
    <w:p w:rsidR="00C45FB2" w:rsidRPr="005C7653" w:rsidRDefault="00C45FB2" w:rsidP="00C45FB2">
      <w:pPr>
        <w:jc w:val="right"/>
        <w:rPr>
          <w:i/>
          <w:sz w:val="24"/>
          <w:lang w:val="ro-RO"/>
        </w:rPr>
      </w:pPr>
      <w:r w:rsidRPr="005C7653">
        <w:rPr>
          <w:i/>
          <w:sz w:val="24"/>
          <w:lang w:val="ro-RO"/>
        </w:rPr>
        <w:t>Anexa nr.1</w:t>
      </w:r>
      <w:r w:rsidRPr="005C7653">
        <w:rPr>
          <w:i/>
          <w:sz w:val="24"/>
          <w:lang w:val="ro-RO"/>
        </w:rPr>
        <w:br/>
        <w:t xml:space="preserve"> la decizia Consiliului</w:t>
      </w:r>
    </w:p>
    <w:p w:rsidR="00C45FB2" w:rsidRPr="00E30007" w:rsidRDefault="00EB5EEF" w:rsidP="00C45FB2">
      <w:pPr>
        <w:jc w:val="right"/>
        <w:rPr>
          <w:i/>
          <w:szCs w:val="28"/>
          <w:u w:val="single"/>
          <w:lang w:val="ro-RO"/>
        </w:rPr>
      </w:pPr>
      <w:r>
        <w:rPr>
          <w:i/>
          <w:sz w:val="24"/>
          <w:lang w:val="ro-RO"/>
        </w:rPr>
        <w:t xml:space="preserve">  nr</w:t>
      </w:r>
      <w:r w:rsidRPr="00EB5EEF">
        <w:rPr>
          <w:i/>
          <w:sz w:val="24"/>
          <w:lang w:val="ro-RO"/>
        </w:rPr>
        <w:t>. 6/5</w:t>
      </w:r>
      <w:r w:rsidR="00C45FB2" w:rsidRPr="00EB5EEF">
        <w:rPr>
          <w:i/>
          <w:sz w:val="24"/>
          <w:lang w:val="ro-RO"/>
        </w:rPr>
        <w:t xml:space="preserve"> din  </w:t>
      </w:r>
      <w:r w:rsidRPr="00EB5EEF">
        <w:rPr>
          <w:i/>
          <w:sz w:val="24"/>
          <w:lang w:val="ro-RO"/>
        </w:rPr>
        <w:t>26 noiembrie 2018</w:t>
      </w:r>
      <w:r w:rsidR="00C45FB2" w:rsidRPr="00EB5EEF">
        <w:rPr>
          <w:i/>
          <w:color w:val="FFFFFF"/>
          <w:sz w:val="24"/>
          <w:u w:val="single"/>
          <w:lang w:val="ro-RO"/>
        </w:rPr>
        <w:t xml:space="preserve">.    </w:t>
      </w:r>
      <w:r w:rsidR="00C45FB2" w:rsidRPr="00EB5EEF">
        <w:rPr>
          <w:i/>
          <w:szCs w:val="28"/>
          <w:u w:val="single"/>
          <w:lang w:val="ro-RO"/>
        </w:rPr>
        <w:t xml:space="preserve">                                                                                          </w:t>
      </w:r>
    </w:p>
    <w:p w:rsidR="00C45FB2" w:rsidRPr="005C7653" w:rsidRDefault="00C45FB2" w:rsidP="00C45FB2">
      <w:pPr>
        <w:rPr>
          <w:i/>
          <w:sz w:val="24"/>
          <w:u w:val="single"/>
          <w:lang w:val="ro-RO"/>
        </w:rPr>
      </w:pPr>
      <w:r w:rsidRPr="005C7653">
        <w:rPr>
          <w:b/>
          <w:i/>
          <w:sz w:val="24"/>
          <w:lang w:val="ro-RO"/>
        </w:rPr>
        <w:t>Taxele locale, cotele şi înlesnirile fiscale ce se pun în aplicare pentru anul 2019_pe teritoriul</w:t>
      </w:r>
      <w:r w:rsidRPr="005C7653">
        <w:rPr>
          <w:i/>
          <w:sz w:val="24"/>
          <w:u w:val="single"/>
          <w:lang w:val="en-US"/>
        </w:rPr>
        <w:t xml:space="preserve"> </w:t>
      </w:r>
      <w:proofErr w:type="spellStart"/>
      <w:r w:rsidRPr="005C7653">
        <w:rPr>
          <w:i/>
          <w:sz w:val="24"/>
          <w:u w:val="single"/>
          <w:lang w:val="en-US"/>
        </w:rPr>
        <w:t>satului</w:t>
      </w:r>
      <w:proofErr w:type="spellEnd"/>
      <w:r w:rsidRPr="005C7653">
        <w:rPr>
          <w:i/>
          <w:sz w:val="24"/>
          <w:u w:val="single"/>
          <w:lang w:val="en-US"/>
        </w:rPr>
        <w:t xml:space="preserve"> </w:t>
      </w:r>
      <w:proofErr w:type="spellStart"/>
      <w:r w:rsidRPr="005C7653">
        <w:rPr>
          <w:i/>
          <w:sz w:val="24"/>
          <w:u w:val="single"/>
          <w:lang w:val="en-US"/>
        </w:rPr>
        <w:t>Bolohan</w:t>
      </w:r>
      <w:proofErr w:type="spellEnd"/>
      <w:r w:rsidRPr="005C7653">
        <w:rPr>
          <w:i/>
          <w:color w:val="FFFFFF"/>
          <w:sz w:val="24"/>
          <w:u w:val="single"/>
          <w:lang w:val="ro-RO"/>
        </w:rPr>
        <w:t xml:space="preserve">                                                                                            </w:t>
      </w:r>
    </w:p>
    <w:p w:rsidR="00C45FB2" w:rsidRPr="005C7653" w:rsidRDefault="00C45FB2" w:rsidP="00C45FB2">
      <w:pPr>
        <w:spacing w:line="276" w:lineRule="auto"/>
        <w:rPr>
          <w:color w:val="FFFFFF"/>
          <w:sz w:val="24"/>
          <w:u w:val="single"/>
          <w:lang w:val="ro-RO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1530"/>
        <w:gridCol w:w="2298"/>
        <w:gridCol w:w="1283"/>
        <w:gridCol w:w="1205"/>
        <w:gridCol w:w="1205"/>
        <w:gridCol w:w="1660"/>
      </w:tblGrid>
      <w:tr w:rsidR="00281A84" w:rsidRPr="001C39F8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rPr>
                <w:b/>
                <w:i/>
                <w:sz w:val="24"/>
                <w:lang w:val="ro-MO"/>
              </w:rPr>
            </w:pPr>
            <w:r w:rsidRPr="00686CF5">
              <w:rPr>
                <w:b/>
                <w:i/>
                <w:sz w:val="24"/>
                <w:lang w:val="ro-MO"/>
              </w:rPr>
              <w:t>Nr.</w:t>
            </w:r>
            <w:r w:rsidRPr="00686CF5">
              <w:rPr>
                <w:b/>
                <w:i/>
                <w:sz w:val="24"/>
                <w:lang w:val="ro-MO"/>
              </w:rPr>
              <w:br/>
              <w:t>d/o</w:t>
            </w:r>
          </w:p>
        </w:tc>
        <w:tc>
          <w:tcPr>
            <w:tcW w:w="1993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rPr>
                <w:b/>
                <w:i/>
                <w:sz w:val="24"/>
                <w:lang w:val="ro-MO"/>
              </w:rPr>
            </w:pPr>
            <w:r w:rsidRPr="00686CF5">
              <w:rPr>
                <w:b/>
                <w:i/>
                <w:sz w:val="24"/>
                <w:lang w:val="ro-MO"/>
              </w:rPr>
              <w:t>Denumirea taxelor</w:t>
            </w:r>
          </w:p>
        </w:tc>
        <w:tc>
          <w:tcPr>
            <w:tcW w:w="1893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rPr>
                <w:b/>
                <w:sz w:val="24"/>
                <w:lang w:val="ro-MO"/>
              </w:rPr>
            </w:pPr>
            <w:r w:rsidRPr="00686CF5">
              <w:rPr>
                <w:b/>
                <w:sz w:val="24"/>
                <w:lang w:val="ro-MO"/>
              </w:rPr>
              <w:t xml:space="preserve">Cota taxei </w:t>
            </w:r>
            <w:r w:rsidRPr="00686CF5">
              <w:rPr>
                <w:b/>
                <w:lang w:val="ro-MO"/>
              </w:rPr>
              <w:t>de bază</w:t>
            </w:r>
          </w:p>
          <w:p w:rsidR="00281A84" w:rsidRPr="00686CF5" w:rsidRDefault="00281A84" w:rsidP="00372399">
            <w:pPr>
              <w:spacing w:line="240" w:lineRule="auto"/>
              <w:rPr>
                <w:b/>
                <w:i/>
                <w:sz w:val="24"/>
                <w:lang w:val="ro-MO"/>
              </w:rPr>
            </w:pPr>
            <w:r w:rsidRPr="00686CF5">
              <w:rPr>
                <w:i/>
                <w:sz w:val="20"/>
                <w:lang w:val="ro-MO"/>
              </w:rPr>
              <w:t>(în lei/%  pentru anul calendaristic)</w:t>
            </w:r>
          </w:p>
        </w:tc>
        <w:tc>
          <w:tcPr>
            <w:tcW w:w="1348" w:type="dxa"/>
          </w:tcPr>
          <w:p w:rsidR="00281A84" w:rsidRPr="00686CF5" w:rsidRDefault="00281A84" w:rsidP="00372399">
            <w:pPr>
              <w:spacing w:line="240" w:lineRule="auto"/>
              <w:rPr>
                <w:b/>
                <w:sz w:val="24"/>
                <w:lang w:val="ro-MO"/>
              </w:rPr>
            </w:pPr>
            <w:r w:rsidRPr="00686CF5">
              <w:rPr>
                <w:b/>
                <w:sz w:val="24"/>
                <w:lang w:val="ro-MO"/>
              </w:rPr>
              <w:t>Coeficient pentru locul amplasării</w:t>
            </w:r>
          </w:p>
          <w:p w:rsidR="00281A84" w:rsidRPr="0077476F" w:rsidRDefault="00281A84" w:rsidP="00372399">
            <w:pPr>
              <w:spacing w:line="240" w:lineRule="auto"/>
              <w:rPr>
                <w:i/>
                <w:sz w:val="20"/>
                <w:lang w:val="ro-MO"/>
              </w:rPr>
            </w:pPr>
            <w:r w:rsidRPr="00686CF5">
              <w:rPr>
                <w:i/>
                <w:sz w:val="20"/>
                <w:lang w:val="ro-MO"/>
              </w:rPr>
              <w:t>(doar în cazul taxei de piaţa şi taxei pentru dispozitivele publicitare)</w:t>
            </w:r>
          </w:p>
        </w:tc>
        <w:tc>
          <w:tcPr>
            <w:tcW w:w="1291" w:type="dxa"/>
            <w:shd w:val="clear" w:color="auto" w:fill="FFFFFF"/>
          </w:tcPr>
          <w:p w:rsidR="00281A84" w:rsidRPr="00686CF5" w:rsidRDefault="00281A84" w:rsidP="00372399">
            <w:pPr>
              <w:spacing w:line="240" w:lineRule="auto"/>
              <w:rPr>
                <w:b/>
                <w:i/>
                <w:sz w:val="24"/>
                <w:lang w:val="ro-MO"/>
              </w:rPr>
            </w:pPr>
            <w:r w:rsidRPr="00686CF5">
              <w:rPr>
                <w:b/>
                <w:i/>
                <w:sz w:val="24"/>
                <w:lang w:val="ro-MO"/>
              </w:rPr>
              <w:t>Coeficient pentru tipul pieţei</w:t>
            </w:r>
          </w:p>
          <w:p w:rsidR="00281A84" w:rsidRPr="00686CF5" w:rsidRDefault="00281A84" w:rsidP="00372399">
            <w:pPr>
              <w:spacing w:line="240" w:lineRule="auto"/>
              <w:rPr>
                <w:b/>
                <w:i/>
                <w:sz w:val="20"/>
                <w:lang w:val="ro-MO"/>
              </w:rPr>
            </w:pPr>
            <w:r w:rsidRPr="00686CF5">
              <w:rPr>
                <w:i/>
                <w:sz w:val="20"/>
                <w:lang w:val="ro-MO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281A84" w:rsidRPr="00686CF5" w:rsidRDefault="00281A84" w:rsidP="00372399">
            <w:pPr>
              <w:spacing w:line="240" w:lineRule="auto"/>
              <w:rPr>
                <w:b/>
                <w:i/>
                <w:sz w:val="24"/>
                <w:lang w:val="ro-MO"/>
              </w:rPr>
            </w:pPr>
            <w:r w:rsidRPr="00686CF5">
              <w:rPr>
                <w:b/>
                <w:i/>
                <w:sz w:val="24"/>
                <w:lang w:val="ro-MO"/>
              </w:rPr>
              <w:t>Coeficient pentru regimul de activitate a pieţei</w:t>
            </w:r>
          </w:p>
          <w:p w:rsidR="00281A84" w:rsidRPr="00686CF5" w:rsidRDefault="00281A84" w:rsidP="00372399">
            <w:pPr>
              <w:spacing w:line="240" w:lineRule="auto"/>
              <w:rPr>
                <w:b/>
                <w:i/>
                <w:sz w:val="20"/>
                <w:lang w:val="ro-MO"/>
              </w:rPr>
            </w:pPr>
            <w:r w:rsidRPr="00686CF5">
              <w:rPr>
                <w:i/>
                <w:sz w:val="20"/>
                <w:lang w:val="ro-MO"/>
              </w:rPr>
              <w:t>(doar în cazul taxei de piaţa)</w:t>
            </w:r>
          </w:p>
        </w:tc>
        <w:tc>
          <w:tcPr>
            <w:tcW w:w="1702" w:type="dxa"/>
            <w:shd w:val="clear" w:color="auto" w:fill="FFFFFF"/>
          </w:tcPr>
          <w:p w:rsidR="00281A84" w:rsidRPr="00686CF5" w:rsidRDefault="00281A84" w:rsidP="00372399">
            <w:pPr>
              <w:spacing w:line="240" w:lineRule="auto"/>
              <w:rPr>
                <w:b/>
                <w:i/>
                <w:sz w:val="24"/>
                <w:lang w:val="ro-MO"/>
              </w:rPr>
            </w:pPr>
            <w:r w:rsidRPr="00686CF5">
              <w:rPr>
                <w:b/>
                <w:i/>
                <w:sz w:val="24"/>
                <w:lang w:val="ro-MO"/>
              </w:rPr>
              <w:t>Înlesnirile fiscaleconform art.296din Codul fiscal</w:t>
            </w:r>
            <w:r w:rsidRPr="00686CF5">
              <w:rPr>
                <w:i/>
                <w:sz w:val="24"/>
                <w:lang w:val="ro-MO"/>
              </w:rPr>
              <w:t xml:space="preserve">, suplimentar celor stabilite prin art. 295 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1.</w:t>
            </w:r>
          </w:p>
        </w:tc>
        <w:tc>
          <w:tcPr>
            <w:tcW w:w="1993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lang w:val="ro-MO"/>
              </w:rPr>
            </w:pPr>
            <w:r w:rsidRPr="00686CF5">
              <w:rPr>
                <w:color w:val="FFFFFF"/>
                <w:sz w:val="24"/>
                <w:lang w:val="ro-MO"/>
              </w:rPr>
              <w:t>Ta</w:t>
            </w:r>
            <w:r w:rsidRPr="00686CF5">
              <w:rPr>
                <w:color w:val="000000"/>
                <w:sz w:val="24"/>
                <w:lang w:val="ro-MO"/>
              </w:rPr>
              <w:t xml:space="preserve"> Taxa pentru amenajarea teritoriului</w:t>
            </w:r>
          </w:p>
        </w:tc>
        <w:tc>
          <w:tcPr>
            <w:tcW w:w="1893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rPr>
                <w:color w:val="FFFFFF"/>
                <w:szCs w:val="28"/>
                <w:u w:val="single"/>
                <w:lang w:val="ro-MO"/>
              </w:rPr>
            </w:pPr>
            <w:r w:rsidRPr="00075766">
              <w:rPr>
                <w:sz w:val="24"/>
                <w:lang w:val="ro-MO"/>
              </w:rPr>
              <w:t>100 lei anual pentru fiecare salariat şi / sau fondator al întreprinderii individuale, al gospodăriei țărănești (de fermier) de asemenea membrii acesteia și/sau pentru fiecare persoană ce desfășoară activitate profesională în sectorul justiției</w:t>
            </w:r>
            <w:r w:rsidRPr="00686CF5">
              <w:rPr>
                <w:lang w:val="ro-MO"/>
              </w:rPr>
              <w:t>.</w:t>
            </w:r>
          </w:p>
          <w:p w:rsidR="00281A84" w:rsidRPr="00686CF5" w:rsidRDefault="00281A84" w:rsidP="00372399">
            <w:pPr>
              <w:spacing w:line="240" w:lineRule="auto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color w:val="FFFFFF"/>
                <w:szCs w:val="28"/>
                <w:u w:val="single"/>
                <w:lang w:val="ro-MO"/>
              </w:rPr>
              <w:t>)8080000800=()îîn</w:t>
            </w:r>
          </w:p>
        </w:tc>
        <w:tc>
          <w:tcPr>
            <w:tcW w:w="1348" w:type="dxa"/>
            <w:vAlign w:val="center"/>
          </w:tcPr>
          <w:p w:rsidR="00281A84" w:rsidRPr="003B53AD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3B53AD">
              <w:rPr>
                <w:sz w:val="24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3B53AD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3B53AD">
              <w:rPr>
                <w:sz w:val="24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3B53AD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3B53AD">
              <w:rPr>
                <w:sz w:val="24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2.</w:t>
            </w:r>
          </w:p>
        </w:tc>
        <w:tc>
          <w:tcPr>
            <w:tcW w:w="1993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de organizare a licitaţiilor şi loteriilor pe teritoriul unităţii administrativ-teritoriale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Cs w:val="28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Cs w:val="28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Cs w:val="28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3.</w:t>
            </w:r>
          </w:p>
        </w:tc>
        <w:tc>
          <w:tcPr>
            <w:tcW w:w="1993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de plasare (amplasare) a publicităţii (reclamei)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color w:val="FFFFFF"/>
                <w:szCs w:val="28"/>
                <w:u w:val="single"/>
                <w:lang w:val="ro-MO"/>
              </w:rPr>
              <w:t>---</w:t>
            </w:r>
            <w:r w:rsidRPr="00686CF5">
              <w:rPr>
                <w:szCs w:val="28"/>
                <w:lang w:val="ro-MO"/>
              </w:rPr>
              <w:t xml:space="preserve"> X</w:t>
            </w:r>
            <w:r w:rsidRPr="00686CF5">
              <w:rPr>
                <w:color w:val="FFFFFF"/>
                <w:szCs w:val="28"/>
                <w:u w:val="single"/>
                <w:lang w:val="ro-MO"/>
              </w:rPr>
              <w:t xml:space="preserve"> 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4.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 xml:space="preserve">Taxa de aplicare a </w:t>
            </w:r>
            <w:r w:rsidRPr="00686CF5">
              <w:rPr>
                <w:color w:val="000000"/>
                <w:sz w:val="24"/>
                <w:lang w:val="ro-MO"/>
              </w:rPr>
              <w:lastRenderedPageBreak/>
              <w:t>simbolicii locale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CA7A83">
              <w:rPr>
                <w:szCs w:val="28"/>
                <w:lang w:val="ro-MO"/>
              </w:rPr>
              <w:lastRenderedPageBreak/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683472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lastRenderedPageBreak/>
              <w:t>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de piaţă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CA7A83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683472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6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pentru cazare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CA7A83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683472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7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balneară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CA7A83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683472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8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pentru parcare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CA7A83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683472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9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de la posesorii de cîini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CA7A83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683472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10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pentru parcaj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532526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10642F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11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pentru salubrizare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532526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10642F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12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pentru dispozitivele publicitare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Pr="00515708" w:rsidRDefault="00EB5EEF" w:rsidP="00372399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10642F">
              <w:rPr>
                <w:szCs w:val="28"/>
                <w:lang w:val="ro-MO"/>
              </w:rPr>
              <w:t>X</w:t>
            </w:r>
          </w:p>
        </w:tc>
      </w:tr>
    </w:tbl>
    <w:p w:rsidR="00281A84" w:rsidRPr="00686CF5" w:rsidRDefault="00281A84" w:rsidP="00281A84">
      <w:pPr>
        <w:rPr>
          <w:color w:val="FFFFFF"/>
          <w:szCs w:val="28"/>
          <w:u w:val="single"/>
          <w:lang w:val="ro-MO"/>
        </w:rPr>
      </w:pPr>
    </w:p>
    <w:p w:rsidR="006E5351" w:rsidRPr="00C45FB2" w:rsidRDefault="006E5351" w:rsidP="006E5351">
      <w:pPr>
        <w:spacing w:line="240" w:lineRule="auto"/>
        <w:rPr>
          <w:b/>
          <w:i/>
          <w:sz w:val="24"/>
          <w:lang w:val="ro-RO"/>
        </w:rPr>
      </w:pPr>
      <w:r>
        <w:rPr>
          <w:b/>
          <w:i/>
          <w:sz w:val="24"/>
          <w:lang w:val="ro-RO"/>
        </w:rPr>
        <w:t>Notă:</w:t>
      </w:r>
    </w:p>
    <w:p w:rsidR="006E5351" w:rsidRPr="00C45FB2" w:rsidRDefault="006E5351" w:rsidP="006E5351">
      <w:pPr>
        <w:spacing w:line="240" w:lineRule="auto"/>
        <w:rPr>
          <w:b/>
          <w:i/>
          <w:sz w:val="24"/>
          <w:lang w:val="ro-RO"/>
        </w:rPr>
      </w:pPr>
    </w:p>
    <w:p w:rsidR="006E5351" w:rsidRPr="005A26DB" w:rsidRDefault="006E5351" w:rsidP="006E5351">
      <w:pPr>
        <w:spacing w:line="240" w:lineRule="auto"/>
        <w:jc w:val="both"/>
        <w:rPr>
          <w:color w:val="FFFFFF"/>
          <w:sz w:val="24"/>
          <w:u w:val="single"/>
          <w:lang w:val="ro-RO"/>
        </w:rPr>
      </w:pPr>
      <w:r w:rsidRPr="005A26DB">
        <w:rPr>
          <w:sz w:val="24"/>
          <w:lang w:val="ro-RO"/>
        </w:rPr>
        <w:t xml:space="preserve">Agenții economici care încetează  sau suspendă pe o perioadă anumită, activitatea pe teritoriul satuluiu </w:t>
      </w:r>
      <w:r>
        <w:rPr>
          <w:sz w:val="24"/>
          <w:lang w:val="ro-RO"/>
        </w:rPr>
        <w:t>Bolohan  în anul 2018</w:t>
      </w:r>
      <w:r w:rsidRPr="005A26DB">
        <w:rPr>
          <w:sz w:val="24"/>
          <w:lang w:val="ro-RO"/>
        </w:rPr>
        <w:t>, nu achită Taxa pentru unitățile comerciale și/sau prestări servicii de la data depunerii notificării de sistare a activității.</w:t>
      </w:r>
    </w:p>
    <w:p w:rsidR="006E5351" w:rsidRPr="005A26DB" w:rsidRDefault="006E5351" w:rsidP="006E5351">
      <w:pPr>
        <w:spacing w:line="240" w:lineRule="auto"/>
        <w:jc w:val="both"/>
        <w:rPr>
          <w:sz w:val="24"/>
          <w:lang w:val="ro-RO"/>
        </w:rPr>
      </w:pPr>
      <w:r w:rsidRPr="005A26DB">
        <w:rPr>
          <w:sz w:val="24"/>
          <w:lang w:val="ro-RO"/>
        </w:rPr>
        <w:t xml:space="preserve">     </w:t>
      </w:r>
    </w:p>
    <w:p w:rsidR="00281A84" w:rsidRPr="006E5351" w:rsidRDefault="00281A84" w:rsidP="00281A84">
      <w:pPr>
        <w:rPr>
          <w:color w:val="FFFFFF"/>
          <w:szCs w:val="28"/>
          <w:u w:val="single"/>
          <w:lang w:val="ro-RO"/>
        </w:rPr>
      </w:pPr>
    </w:p>
    <w:p w:rsidR="00C45FB2" w:rsidRDefault="00C45FB2" w:rsidP="00C45FB2">
      <w:pPr>
        <w:rPr>
          <w:color w:val="FFFFFF"/>
          <w:szCs w:val="28"/>
          <w:u w:val="single"/>
          <w:lang w:val="ro-RO"/>
        </w:rPr>
      </w:pPr>
    </w:p>
    <w:p w:rsidR="00C45FB2" w:rsidRDefault="00C45FB2" w:rsidP="00C45FB2">
      <w:pPr>
        <w:rPr>
          <w:color w:val="FFFFFF"/>
          <w:szCs w:val="28"/>
          <w:lang w:val="ro-RO"/>
        </w:rPr>
      </w:pPr>
    </w:p>
    <w:p w:rsidR="00C45FB2" w:rsidRDefault="00C45FB2" w:rsidP="00C45FB2">
      <w:pPr>
        <w:rPr>
          <w:color w:val="FFFFFF"/>
          <w:szCs w:val="28"/>
          <w:lang w:val="ro-RO"/>
        </w:rPr>
      </w:pPr>
    </w:p>
    <w:p w:rsidR="00C45FB2" w:rsidRDefault="00C45FB2" w:rsidP="00C45FB2">
      <w:pPr>
        <w:rPr>
          <w:color w:val="FFFFFF"/>
          <w:szCs w:val="28"/>
          <w:lang w:val="ro-RO"/>
        </w:rPr>
      </w:pPr>
    </w:p>
    <w:p w:rsidR="00C45FB2" w:rsidRDefault="00C45FB2" w:rsidP="00C45FB2">
      <w:pPr>
        <w:rPr>
          <w:color w:val="FFFFFF"/>
          <w:szCs w:val="28"/>
          <w:lang w:val="ro-RO"/>
        </w:rPr>
      </w:pPr>
    </w:p>
    <w:p w:rsidR="00C45FB2" w:rsidRDefault="00C45FB2" w:rsidP="00C45FB2">
      <w:pPr>
        <w:rPr>
          <w:color w:val="FFFFFF"/>
          <w:szCs w:val="28"/>
          <w:lang w:val="ro-RO"/>
        </w:rPr>
      </w:pPr>
    </w:p>
    <w:p w:rsidR="00C45FB2" w:rsidRDefault="00C45FB2" w:rsidP="00C45FB2">
      <w:pPr>
        <w:rPr>
          <w:color w:val="FFFFFF"/>
          <w:szCs w:val="28"/>
          <w:lang w:val="ro-RO"/>
        </w:rPr>
      </w:pPr>
    </w:p>
    <w:p w:rsidR="00281A84" w:rsidRDefault="00281A84" w:rsidP="00C45FB2">
      <w:pPr>
        <w:rPr>
          <w:color w:val="FFFFFF"/>
          <w:szCs w:val="28"/>
          <w:lang w:val="ro-RO"/>
        </w:rPr>
      </w:pPr>
    </w:p>
    <w:p w:rsidR="00281A84" w:rsidRDefault="00281A84" w:rsidP="00C45FB2">
      <w:pPr>
        <w:rPr>
          <w:color w:val="FFFFFF"/>
          <w:szCs w:val="28"/>
          <w:lang w:val="ro-RO"/>
        </w:rPr>
      </w:pPr>
    </w:p>
    <w:p w:rsidR="00EB5EEF" w:rsidRDefault="00EB5EEF" w:rsidP="00C45FB2">
      <w:pPr>
        <w:rPr>
          <w:color w:val="FFFFFF"/>
          <w:szCs w:val="28"/>
          <w:lang w:val="ro-RO"/>
        </w:rPr>
      </w:pPr>
    </w:p>
    <w:p w:rsidR="00EB5EEF" w:rsidRDefault="00EB5EEF" w:rsidP="00C45FB2">
      <w:pPr>
        <w:rPr>
          <w:color w:val="FFFFFF"/>
          <w:szCs w:val="28"/>
          <w:lang w:val="ro-RO"/>
        </w:rPr>
      </w:pPr>
    </w:p>
    <w:p w:rsidR="00EB5EEF" w:rsidRDefault="00EB5EEF" w:rsidP="00C45FB2">
      <w:pPr>
        <w:rPr>
          <w:color w:val="FFFFFF"/>
          <w:szCs w:val="28"/>
          <w:lang w:val="ro-RO"/>
        </w:rPr>
      </w:pPr>
    </w:p>
    <w:p w:rsidR="00075766" w:rsidRDefault="00075766" w:rsidP="00C45FB2">
      <w:pPr>
        <w:rPr>
          <w:color w:val="FFFFFF"/>
          <w:szCs w:val="28"/>
          <w:lang w:val="ro-RO"/>
        </w:rPr>
      </w:pPr>
    </w:p>
    <w:p w:rsidR="00C45FB2" w:rsidRPr="006E5351" w:rsidRDefault="00C45FB2" w:rsidP="006E5351">
      <w:pPr>
        <w:spacing w:line="240" w:lineRule="auto"/>
        <w:jc w:val="right"/>
        <w:rPr>
          <w:color w:val="FFFFFF"/>
          <w:sz w:val="24"/>
          <w:u w:val="single"/>
          <w:lang w:val="ro-RO"/>
        </w:rPr>
      </w:pPr>
      <w:r w:rsidRPr="006E5351">
        <w:rPr>
          <w:i/>
          <w:sz w:val="24"/>
          <w:lang w:val="ro-RO"/>
        </w:rPr>
        <w:t>Anexa nr.2</w:t>
      </w:r>
      <w:r w:rsidRPr="006E5351">
        <w:rPr>
          <w:i/>
          <w:sz w:val="24"/>
          <w:lang w:val="ro-RO"/>
        </w:rPr>
        <w:br/>
        <w:t xml:space="preserve"> la decizia Consiliului</w:t>
      </w:r>
      <w:r w:rsidRPr="006E5351">
        <w:rPr>
          <w:i/>
          <w:sz w:val="24"/>
          <w:u w:val="single"/>
          <w:lang w:val="ro-RO"/>
        </w:rPr>
        <w:br/>
      </w:r>
      <w:r w:rsidRPr="006E5351">
        <w:rPr>
          <w:i/>
          <w:sz w:val="24"/>
          <w:lang w:val="ro-RO"/>
        </w:rPr>
        <w:t xml:space="preserve">                                                                                                                nr.</w:t>
      </w:r>
      <w:r w:rsidR="00EB5EEF">
        <w:rPr>
          <w:i/>
          <w:sz w:val="24"/>
          <w:lang w:val="ro-RO"/>
        </w:rPr>
        <w:t xml:space="preserve">6-5 </w:t>
      </w:r>
      <w:r w:rsidRPr="006E5351">
        <w:rPr>
          <w:i/>
          <w:sz w:val="24"/>
          <w:lang w:val="ro-RO"/>
        </w:rPr>
        <w:t xml:space="preserve">  din  </w:t>
      </w:r>
      <w:r w:rsidR="006E5351">
        <w:rPr>
          <w:i/>
          <w:sz w:val="24"/>
          <w:lang w:val="ro-RO"/>
        </w:rPr>
        <w:t>26.11.2018</w:t>
      </w:r>
    </w:p>
    <w:p w:rsidR="00C45FB2" w:rsidRPr="00C45FB2" w:rsidRDefault="00C45FB2" w:rsidP="00C45FB2">
      <w:pPr>
        <w:spacing w:line="240" w:lineRule="auto"/>
        <w:jc w:val="center"/>
        <w:rPr>
          <w:b/>
          <w:i/>
          <w:sz w:val="24"/>
          <w:lang w:val="ro-RO"/>
        </w:rPr>
      </w:pPr>
      <w:r w:rsidRPr="00C45FB2">
        <w:rPr>
          <w:b/>
          <w:i/>
          <w:sz w:val="24"/>
          <w:lang w:val="ro-RO"/>
        </w:rPr>
        <w:t>Cotele taxei  pentru unităţile comerciale şi/sau de prestări servicii</w:t>
      </w:r>
    </w:p>
    <w:tbl>
      <w:tblPr>
        <w:tblStyle w:val="30"/>
        <w:tblpPr w:leftFromText="180" w:rightFromText="180" w:vertAnchor="text" w:horzAnchor="margin" w:tblpY="226"/>
        <w:tblW w:w="9997" w:type="dxa"/>
        <w:tblLook w:val="04A0"/>
      </w:tblPr>
      <w:tblGrid>
        <w:gridCol w:w="603"/>
        <w:gridCol w:w="4009"/>
        <w:gridCol w:w="1550"/>
        <w:gridCol w:w="1216"/>
        <w:gridCol w:w="1216"/>
        <w:gridCol w:w="1403"/>
      </w:tblGrid>
      <w:tr w:rsidR="00C45FB2" w:rsidRPr="001C39F8" w:rsidTr="005A26DB">
        <w:trPr>
          <w:trHeight w:val="4668"/>
        </w:trPr>
        <w:tc>
          <w:tcPr>
            <w:tcW w:w="603" w:type="dxa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d/or</w:t>
            </w:r>
          </w:p>
        </w:tc>
        <w:tc>
          <w:tcPr>
            <w:tcW w:w="4009" w:type="dxa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Tipul obiectului de comerț și/sau obiectului de prestări servicii</w:t>
            </w:r>
          </w:p>
        </w:tc>
        <w:tc>
          <w:tcPr>
            <w:tcW w:w="1550" w:type="dxa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Cota taxei de bază pentru unitatea de comerţ/de prestări servicii </w:t>
            </w:r>
          </w:p>
          <w:p w:rsidR="00C45FB2" w:rsidRPr="00C45FB2" w:rsidRDefault="00C45FB2" w:rsidP="001C39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C45FB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în lei  pentru anul calendaristic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Coeficient pentru locul amplasării</w:t>
            </w: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C45FB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în % la cota taxei de bază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Coeficient pentru tipul sau categoria de mărfuri realizate și a serviciilor prestate</w:t>
            </w:r>
          </w:p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(în % la cota taxei de bază)</w:t>
            </w:r>
          </w:p>
        </w:tc>
        <w:tc>
          <w:tcPr>
            <w:tcW w:w="1403" w:type="dxa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Coeficientul pentru programul de activitate regim non-stop </w:t>
            </w: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(în % la cota taxei de bază)</w:t>
            </w:r>
          </w:p>
        </w:tc>
      </w:tr>
      <w:tr w:rsidR="00C45FB2" w:rsidRPr="001C39F8" w:rsidTr="00C60588">
        <w:trPr>
          <w:trHeight w:val="323"/>
        </w:trPr>
        <w:tc>
          <w:tcPr>
            <w:tcW w:w="9997" w:type="dxa"/>
            <w:gridSpan w:val="6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Unitățile de comerţ cu amănuntul (conform HG nr.</w:t>
            </w:r>
            <w:r w:rsidRPr="00C45F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931  din  08.12.2011</w:t>
            </w:r>
            <w:r w:rsidRPr="00C45F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)</w:t>
            </w:r>
          </w:p>
        </w:tc>
      </w:tr>
      <w:tr w:rsidR="00C45FB2" w:rsidRPr="001C39F8" w:rsidTr="005A26DB">
        <w:trPr>
          <w:trHeight w:val="240"/>
        </w:trPr>
        <w:tc>
          <w:tcPr>
            <w:tcW w:w="6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00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550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5A26DB">
        <w:trPr>
          <w:trHeight w:val="227"/>
        </w:trPr>
        <w:tc>
          <w:tcPr>
            <w:tcW w:w="6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9" w:type="dxa"/>
          </w:tcPr>
          <w:p w:rsidR="00C45FB2" w:rsidRPr="00C45FB2" w:rsidRDefault="00C45FB2" w:rsidP="00A426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proofErr w:type="spellStart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pînă</w:t>
            </w:r>
            <w:proofErr w:type="spellEnd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r w:rsidR="00A426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50 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50" w:type="dxa"/>
          </w:tcPr>
          <w:p w:rsidR="00C45FB2" w:rsidRPr="00C45FB2" w:rsidRDefault="00A426F0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1000.00</w:t>
            </w: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515708" w:rsidTr="005A26DB">
        <w:trPr>
          <w:trHeight w:val="240"/>
        </w:trPr>
        <w:tc>
          <w:tcPr>
            <w:tcW w:w="6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9" w:type="dxa"/>
          </w:tcPr>
          <w:p w:rsidR="00C45FB2" w:rsidRPr="00C45FB2" w:rsidRDefault="00C45FB2" w:rsidP="00A426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la </w:t>
            </w:r>
            <w:r w:rsidR="00A42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pînă</w:t>
            </w:r>
            <w:proofErr w:type="spellEnd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r w:rsidR="00A42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150 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50" w:type="dxa"/>
          </w:tcPr>
          <w:p w:rsidR="00C45FB2" w:rsidRPr="00C45FB2" w:rsidRDefault="00A426F0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2000.00</w:t>
            </w: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5A26DB">
        <w:trPr>
          <w:trHeight w:val="227"/>
        </w:trPr>
        <w:tc>
          <w:tcPr>
            <w:tcW w:w="6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0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5A26DB">
        <w:trPr>
          <w:trHeight w:val="240"/>
        </w:trPr>
        <w:tc>
          <w:tcPr>
            <w:tcW w:w="6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00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0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5A26DB">
        <w:trPr>
          <w:trHeight w:val="227"/>
        </w:trPr>
        <w:tc>
          <w:tcPr>
            <w:tcW w:w="6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0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5A26DB">
        <w:trPr>
          <w:trHeight w:val="240"/>
        </w:trPr>
        <w:tc>
          <w:tcPr>
            <w:tcW w:w="6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1C39F8" w:rsidTr="00C60588">
        <w:trPr>
          <w:trHeight w:val="227"/>
        </w:trPr>
        <w:tc>
          <w:tcPr>
            <w:tcW w:w="9997" w:type="dxa"/>
            <w:gridSpan w:val="6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Unități de prestări servicii </w:t>
            </w:r>
          </w:p>
          <w:p w:rsid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(Sectiunilor G (45.2), I, L,M, N,R şi S, diviyiunile, grupele şi clasa, conform anexei nr. 1 la Legea nr.  231 din 23.09.2010)</w:t>
            </w:r>
          </w:p>
          <w:p w:rsidR="00A426F0" w:rsidRPr="00A426F0" w:rsidRDefault="00A426F0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26F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Activităţi de intermediere în comerţul cu ridicata</w:t>
            </w:r>
          </w:p>
        </w:tc>
      </w:tr>
      <w:tr w:rsidR="00C45FB2" w:rsidRPr="00A426F0" w:rsidTr="005A26DB">
        <w:trPr>
          <w:trHeight w:val="227"/>
        </w:trPr>
        <w:tc>
          <w:tcPr>
            <w:tcW w:w="6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09" w:type="dxa"/>
          </w:tcPr>
          <w:p w:rsidR="00C45FB2" w:rsidRPr="00A426F0" w:rsidRDefault="00A426F0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6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Intermedieri în comerţul cu mobilă, articole de menaj şi de fierărie</w:t>
            </w:r>
          </w:p>
        </w:tc>
        <w:tc>
          <w:tcPr>
            <w:tcW w:w="1550" w:type="dxa"/>
          </w:tcPr>
          <w:p w:rsidR="00C45FB2" w:rsidRPr="00C45FB2" w:rsidRDefault="00A426F0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5000.00</w:t>
            </w: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A426F0" w:rsidTr="005A26DB">
        <w:trPr>
          <w:trHeight w:val="227"/>
        </w:trPr>
        <w:tc>
          <w:tcPr>
            <w:tcW w:w="603" w:type="dxa"/>
          </w:tcPr>
          <w:p w:rsidR="00C45FB2" w:rsidRPr="00C45FB2" w:rsidRDefault="005A26DB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09" w:type="dxa"/>
          </w:tcPr>
          <w:p w:rsidR="00C45FB2" w:rsidRPr="005A26DB" w:rsidRDefault="005A26DB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6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Intermedieri în comerţul cu produse diverse</w:t>
            </w:r>
          </w:p>
        </w:tc>
        <w:tc>
          <w:tcPr>
            <w:tcW w:w="1550" w:type="dxa"/>
          </w:tcPr>
          <w:p w:rsidR="00C45FB2" w:rsidRPr="00C45FB2" w:rsidRDefault="005A26DB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5000.00</w:t>
            </w: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A426F0" w:rsidTr="005A26DB">
        <w:trPr>
          <w:trHeight w:val="227"/>
        </w:trPr>
        <w:tc>
          <w:tcPr>
            <w:tcW w:w="6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45FB2" w:rsidRPr="00C45FB2" w:rsidRDefault="00C45FB2" w:rsidP="00C45FB2">
      <w:pPr>
        <w:spacing w:line="240" w:lineRule="auto"/>
        <w:jc w:val="center"/>
        <w:rPr>
          <w:b/>
          <w:i/>
          <w:sz w:val="24"/>
          <w:u w:val="single"/>
          <w:lang w:val="ro-RO"/>
        </w:rPr>
      </w:pPr>
      <w:r w:rsidRPr="00C45FB2">
        <w:rPr>
          <w:i/>
          <w:color w:val="FFFFFF"/>
          <w:sz w:val="24"/>
          <w:u w:val="single"/>
          <w:lang w:val="ro-RO"/>
        </w:rPr>
        <w:t xml:space="preserve">.                                                                                                 </w:t>
      </w:r>
    </w:p>
    <w:p w:rsidR="00C45FB2" w:rsidRPr="001C39F8" w:rsidRDefault="005A26DB" w:rsidP="006E5351">
      <w:pPr>
        <w:spacing w:line="240" w:lineRule="auto"/>
        <w:rPr>
          <w:sz w:val="24"/>
          <w:lang w:val="ro-RO"/>
        </w:rPr>
      </w:pPr>
      <w:r w:rsidRPr="001C39F8">
        <w:rPr>
          <w:b/>
          <w:i/>
          <w:sz w:val="24"/>
          <w:lang w:val="ro-RO"/>
        </w:rPr>
        <w:t xml:space="preserve">     </w:t>
      </w:r>
    </w:p>
    <w:p w:rsidR="006E5351" w:rsidRPr="001C39F8" w:rsidRDefault="00C45FB2" w:rsidP="001C39F8">
      <w:pPr>
        <w:jc w:val="both"/>
        <w:rPr>
          <w:sz w:val="24"/>
          <w:lang w:val="ro-RO"/>
        </w:rPr>
      </w:pPr>
      <w:r w:rsidRPr="001C39F8">
        <w:rPr>
          <w:sz w:val="24"/>
          <w:lang w:val="ro-RO"/>
        </w:rPr>
        <w:t xml:space="preserve">  </w:t>
      </w:r>
      <w:r w:rsidR="001C39F8" w:rsidRPr="001C39F8">
        <w:rPr>
          <w:sz w:val="24"/>
          <w:lang w:val="ro-RO"/>
        </w:rPr>
        <w:t>Secretar al consiliului local Bolohan                                   Ciobanu Tatiana</w:t>
      </w:r>
    </w:p>
    <w:p w:rsidR="00C45FB2" w:rsidRDefault="00C45FB2" w:rsidP="001C39F8">
      <w:pPr>
        <w:tabs>
          <w:tab w:val="left" w:pos="2400"/>
        </w:tabs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Pr="008D3A93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7F36D0" w:rsidRPr="008D3A93" w:rsidRDefault="007F36D0" w:rsidP="007F36D0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7F36D0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sectPr w:rsidR="00C45FB2" w:rsidSect="0057309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7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2023F5"/>
    <w:multiLevelType w:val="hybridMultilevel"/>
    <w:tmpl w:val="1E16A840"/>
    <w:lvl w:ilvl="0" w:tplc="0EECF4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8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67EC16CB"/>
    <w:multiLevelType w:val="hybridMultilevel"/>
    <w:tmpl w:val="3034C708"/>
    <w:lvl w:ilvl="0" w:tplc="F6F2386E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6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7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8">
    <w:nsid w:val="7689371D"/>
    <w:multiLevelType w:val="hybridMultilevel"/>
    <w:tmpl w:val="969E9B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0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27"/>
  </w:num>
  <w:num w:numId="5">
    <w:abstractNumId w:val="21"/>
  </w:num>
  <w:num w:numId="6">
    <w:abstractNumId w:val="17"/>
  </w:num>
  <w:num w:numId="7">
    <w:abstractNumId w:val="14"/>
  </w:num>
  <w:num w:numId="8">
    <w:abstractNumId w:val="25"/>
  </w:num>
  <w:num w:numId="9">
    <w:abstractNumId w:val="6"/>
  </w:num>
  <w:num w:numId="10">
    <w:abstractNumId w:val="23"/>
  </w:num>
  <w:num w:numId="11">
    <w:abstractNumId w:val="16"/>
  </w:num>
  <w:num w:numId="12">
    <w:abstractNumId w:val="15"/>
  </w:num>
  <w:num w:numId="13">
    <w:abstractNumId w:val="0"/>
  </w:num>
  <w:num w:numId="14">
    <w:abstractNumId w:val="20"/>
  </w:num>
  <w:num w:numId="15">
    <w:abstractNumId w:val="4"/>
  </w:num>
  <w:num w:numId="16">
    <w:abstractNumId w:val="26"/>
  </w:num>
  <w:num w:numId="17">
    <w:abstractNumId w:val="1"/>
  </w:num>
  <w:num w:numId="18">
    <w:abstractNumId w:val="12"/>
  </w:num>
  <w:num w:numId="19">
    <w:abstractNumId w:val="8"/>
  </w:num>
  <w:num w:numId="20">
    <w:abstractNumId w:val="5"/>
  </w:num>
  <w:num w:numId="21">
    <w:abstractNumId w:val="29"/>
  </w:num>
  <w:num w:numId="22">
    <w:abstractNumId w:val="3"/>
  </w:num>
  <w:num w:numId="23">
    <w:abstractNumId w:val="9"/>
  </w:num>
  <w:num w:numId="24">
    <w:abstractNumId w:val="2"/>
  </w:num>
  <w:num w:numId="25">
    <w:abstractNumId w:val="7"/>
  </w:num>
  <w:num w:numId="26">
    <w:abstractNumId w:val="13"/>
  </w:num>
  <w:num w:numId="27">
    <w:abstractNumId w:val="24"/>
  </w:num>
  <w:num w:numId="28">
    <w:abstractNumId w:val="30"/>
  </w:num>
  <w:num w:numId="29">
    <w:abstractNumId w:val="11"/>
  </w:num>
  <w:num w:numId="30">
    <w:abstractNumId w:val="28"/>
  </w:num>
  <w:num w:numId="3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3297"/>
    <w:rsid w:val="0000591C"/>
    <w:rsid w:val="0001357B"/>
    <w:rsid w:val="00014D84"/>
    <w:rsid w:val="00025A23"/>
    <w:rsid w:val="00027AC7"/>
    <w:rsid w:val="000306D3"/>
    <w:rsid w:val="000433B9"/>
    <w:rsid w:val="00047AC7"/>
    <w:rsid w:val="00047BA4"/>
    <w:rsid w:val="00053432"/>
    <w:rsid w:val="0005381F"/>
    <w:rsid w:val="0005618B"/>
    <w:rsid w:val="00056A3C"/>
    <w:rsid w:val="00061697"/>
    <w:rsid w:val="00070AD7"/>
    <w:rsid w:val="00071EB0"/>
    <w:rsid w:val="00075766"/>
    <w:rsid w:val="00076AE2"/>
    <w:rsid w:val="00086870"/>
    <w:rsid w:val="00087CF5"/>
    <w:rsid w:val="00087EBD"/>
    <w:rsid w:val="00090CDD"/>
    <w:rsid w:val="0009180E"/>
    <w:rsid w:val="00091BCF"/>
    <w:rsid w:val="00095F5C"/>
    <w:rsid w:val="000966B3"/>
    <w:rsid w:val="000A078B"/>
    <w:rsid w:val="000A2B8F"/>
    <w:rsid w:val="000A3FE3"/>
    <w:rsid w:val="000A4B28"/>
    <w:rsid w:val="000B07E4"/>
    <w:rsid w:val="000C0CB7"/>
    <w:rsid w:val="000C2725"/>
    <w:rsid w:val="000C3866"/>
    <w:rsid w:val="000C3DD6"/>
    <w:rsid w:val="000C57F1"/>
    <w:rsid w:val="000C7B4E"/>
    <w:rsid w:val="000D0908"/>
    <w:rsid w:val="000E2DA6"/>
    <w:rsid w:val="000F2709"/>
    <w:rsid w:val="001011CD"/>
    <w:rsid w:val="001017EF"/>
    <w:rsid w:val="00113C88"/>
    <w:rsid w:val="00114E99"/>
    <w:rsid w:val="00116CDA"/>
    <w:rsid w:val="00123DEC"/>
    <w:rsid w:val="00125293"/>
    <w:rsid w:val="00140A8D"/>
    <w:rsid w:val="0014369C"/>
    <w:rsid w:val="00150DDB"/>
    <w:rsid w:val="001700D6"/>
    <w:rsid w:val="00170731"/>
    <w:rsid w:val="001742AE"/>
    <w:rsid w:val="0017544F"/>
    <w:rsid w:val="0018435C"/>
    <w:rsid w:val="0019593A"/>
    <w:rsid w:val="00196B2D"/>
    <w:rsid w:val="00197D12"/>
    <w:rsid w:val="001A03D0"/>
    <w:rsid w:val="001A4D31"/>
    <w:rsid w:val="001B3C76"/>
    <w:rsid w:val="001B69A2"/>
    <w:rsid w:val="001C39F8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221C08"/>
    <w:rsid w:val="00230558"/>
    <w:rsid w:val="002323DF"/>
    <w:rsid w:val="002335F3"/>
    <w:rsid w:val="00235CDA"/>
    <w:rsid w:val="00240062"/>
    <w:rsid w:val="00240145"/>
    <w:rsid w:val="002426C3"/>
    <w:rsid w:val="0024582E"/>
    <w:rsid w:val="00254344"/>
    <w:rsid w:val="00257D9B"/>
    <w:rsid w:val="00263E6F"/>
    <w:rsid w:val="00281A84"/>
    <w:rsid w:val="00292762"/>
    <w:rsid w:val="002937E9"/>
    <w:rsid w:val="0029680B"/>
    <w:rsid w:val="002A2CFC"/>
    <w:rsid w:val="002E0B8C"/>
    <w:rsid w:val="002E5425"/>
    <w:rsid w:val="002F250B"/>
    <w:rsid w:val="002F2E1C"/>
    <w:rsid w:val="002F4FB3"/>
    <w:rsid w:val="002F788C"/>
    <w:rsid w:val="00307CC4"/>
    <w:rsid w:val="00314141"/>
    <w:rsid w:val="00322E65"/>
    <w:rsid w:val="003232AB"/>
    <w:rsid w:val="00343AC4"/>
    <w:rsid w:val="003446B6"/>
    <w:rsid w:val="003460D7"/>
    <w:rsid w:val="00366313"/>
    <w:rsid w:val="003679C0"/>
    <w:rsid w:val="00377784"/>
    <w:rsid w:val="00381E10"/>
    <w:rsid w:val="00386FD8"/>
    <w:rsid w:val="00391CE3"/>
    <w:rsid w:val="00393CAC"/>
    <w:rsid w:val="003A1EA8"/>
    <w:rsid w:val="003A3234"/>
    <w:rsid w:val="003A543E"/>
    <w:rsid w:val="003B5897"/>
    <w:rsid w:val="003B73AC"/>
    <w:rsid w:val="003C4B4C"/>
    <w:rsid w:val="003D273C"/>
    <w:rsid w:val="003D5054"/>
    <w:rsid w:val="003E368B"/>
    <w:rsid w:val="003E41C4"/>
    <w:rsid w:val="003E5562"/>
    <w:rsid w:val="003F600A"/>
    <w:rsid w:val="0040098E"/>
    <w:rsid w:val="0041105E"/>
    <w:rsid w:val="004254FA"/>
    <w:rsid w:val="00437D2F"/>
    <w:rsid w:val="00442BBC"/>
    <w:rsid w:val="00443667"/>
    <w:rsid w:val="00445BE5"/>
    <w:rsid w:val="0045456A"/>
    <w:rsid w:val="004558F3"/>
    <w:rsid w:val="00465E9F"/>
    <w:rsid w:val="00473B60"/>
    <w:rsid w:val="004750BA"/>
    <w:rsid w:val="00476307"/>
    <w:rsid w:val="00486E73"/>
    <w:rsid w:val="00491A2D"/>
    <w:rsid w:val="004A0152"/>
    <w:rsid w:val="004B33F1"/>
    <w:rsid w:val="004B621D"/>
    <w:rsid w:val="004B68CD"/>
    <w:rsid w:val="004C1F29"/>
    <w:rsid w:val="004C73C3"/>
    <w:rsid w:val="004D1343"/>
    <w:rsid w:val="004D3D30"/>
    <w:rsid w:val="004E483A"/>
    <w:rsid w:val="00500E3E"/>
    <w:rsid w:val="00515708"/>
    <w:rsid w:val="00525768"/>
    <w:rsid w:val="00530F7D"/>
    <w:rsid w:val="005342E1"/>
    <w:rsid w:val="00536E18"/>
    <w:rsid w:val="00543B2C"/>
    <w:rsid w:val="00546609"/>
    <w:rsid w:val="0055030D"/>
    <w:rsid w:val="005523EC"/>
    <w:rsid w:val="00553AC1"/>
    <w:rsid w:val="00560034"/>
    <w:rsid w:val="00563271"/>
    <w:rsid w:val="00565E57"/>
    <w:rsid w:val="00567484"/>
    <w:rsid w:val="00570738"/>
    <w:rsid w:val="0057074F"/>
    <w:rsid w:val="0057309B"/>
    <w:rsid w:val="00573AEA"/>
    <w:rsid w:val="005825C1"/>
    <w:rsid w:val="00582B6F"/>
    <w:rsid w:val="00583CC6"/>
    <w:rsid w:val="00586A80"/>
    <w:rsid w:val="005909D0"/>
    <w:rsid w:val="0059263C"/>
    <w:rsid w:val="00594F68"/>
    <w:rsid w:val="005A2489"/>
    <w:rsid w:val="005A26DB"/>
    <w:rsid w:val="005A5EF9"/>
    <w:rsid w:val="005B074E"/>
    <w:rsid w:val="005B28BF"/>
    <w:rsid w:val="005B317D"/>
    <w:rsid w:val="005C0D21"/>
    <w:rsid w:val="005C5132"/>
    <w:rsid w:val="005C649F"/>
    <w:rsid w:val="005E36C7"/>
    <w:rsid w:val="005F04E9"/>
    <w:rsid w:val="005F674D"/>
    <w:rsid w:val="00610919"/>
    <w:rsid w:val="006169B1"/>
    <w:rsid w:val="00644CE2"/>
    <w:rsid w:val="006472DA"/>
    <w:rsid w:val="00660525"/>
    <w:rsid w:val="00660CE9"/>
    <w:rsid w:val="006817E9"/>
    <w:rsid w:val="00684C4A"/>
    <w:rsid w:val="00693807"/>
    <w:rsid w:val="006B2413"/>
    <w:rsid w:val="006B34B7"/>
    <w:rsid w:val="006B7B49"/>
    <w:rsid w:val="006C5844"/>
    <w:rsid w:val="006D2B65"/>
    <w:rsid w:val="006D330C"/>
    <w:rsid w:val="006D3FC0"/>
    <w:rsid w:val="006D5203"/>
    <w:rsid w:val="006E34D2"/>
    <w:rsid w:val="006E5351"/>
    <w:rsid w:val="006E718F"/>
    <w:rsid w:val="006E7FDE"/>
    <w:rsid w:val="006F1BAE"/>
    <w:rsid w:val="006F4F86"/>
    <w:rsid w:val="006F66C9"/>
    <w:rsid w:val="0070240E"/>
    <w:rsid w:val="007028E2"/>
    <w:rsid w:val="0070296E"/>
    <w:rsid w:val="0070745F"/>
    <w:rsid w:val="00710ED8"/>
    <w:rsid w:val="007143B6"/>
    <w:rsid w:val="00717751"/>
    <w:rsid w:val="00720D51"/>
    <w:rsid w:val="007271A5"/>
    <w:rsid w:val="00732C73"/>
    <w:rsid w:val="00760CEE"/>
    <w:rsid w:val="00781CE0"/>
    <w:rsid w:val="00785AA9"/>
    <w:rsid w:val="007879F4"/>
    <w:rsid w:val="0079609D"/>
    <w:rsid w:val="00796FBB"/>
    <w:rsid w:val="007A5522"/>
    <w:rsid w:val="007B1400"/>
    <w:rsid w:val="007B1422"/>
    <w:rsid w:val="007B38B0"/>
    <w:rsid w:val="007C7E71"/>
    <w:rsid w:val="007D08F6"/>
    <w:rsid w:val="007D5752"/>
    <w:rsid w:val="007E3330"/>
    <w:rsid w:val="007F36D0"/>
    <w:rsid w:val="007F3EDC"/>
    <w:rsid w:val="007F6B69"/>
    <w:rsid w:val="00800953"/>
    <w:rsid w:val="008118E0"/>
    <w:rsid w:val="00811C00"/>
    <w:rsid w:val="00822696"/>
    <w:rsid w:val="00825EF3"/>
    <w:rsid w:val="00830543"/>
    <w:rsid w:val="00830DC6"/>
    <w:rsid w:val="008378FD"/>
    <w:rsid w:val="00845037"/>
    <w:rsid w:val="00847BA0"/>
    <w:rsid w:val="008508DF"/>
    <w:rsid w:val="00853F32"/>
    <w:rsid w:val="00856B14"/>
    <w:rsid w:val="0085783E"/>
    <w:rsid w:val="00860814"/>
    <w:rsid w:val="00872AD1"/>
    <w:rsid w:val="00881662"/>
    <w:rsid w:val="00890DB0"/>
    <w:rsid w:val="0089492E"/>
    <w:rsid w:val="00897EA7"/>
    <w:rsid w:val="008A300B"/>
    <w:rsid w:val="008A3C61"/>
    <w:rsid w:val="008B1F96"/>
    <w:rsid w:val="008B2D13"/>
    <w:rsid w:val="008C21D6"/>
    <w:rsid w:val="008C3118"/>
    <w:rsid w:val="008C33F6"/>
    <w:rsid w:val="008C7C71"/>
    <w:rsid w:val="008D3A93"/>
    <w:rsid w:val="008F07AE"/>
    <w:rsid w:val="008F334B"/>
    <w:rsid w:val="008F39FE"/>
    <w:rsid w:val="008F62C7"/>
    <w:rsid w:val="00901981"/>
    <w:rsid w:val="00901D82"/>
    <w:rsid w:val="0090429C"/>
    <w:rsid w:val="00905A90"/>
    <w:rsid w:val="009404BD"/>
    <w:rsid w:val="00940D37"/>
    <w:rsid w:val="0095041F"/>
    <w:rsid w:val="0095077B"/>
    <w:rsid w:val="00951475"/>
    <w:rsid w:val="009519D5"/>
    <w:rsid w:val="00960E0A"/>
    <w:rsid w:val="00972474"/>
    <w:rsid w:val="009727EB"/>
    <w:rsid w:val="009774F1"/>
    <w:rsid w:val="0097763F"/>
    <w:rsid w:val="009807E2"/>
    <w:rsid w:val="00985E9E"/>
    <w:rsid w:val="00990BBE"/>
    <w:rsid w:val="0099443F"/>
    <w:rsid w:val="00995704"/>
    <w:rsid w:val="009A7017"/>
    <w:rsid w:val="009B05D3"/>
    <w:rsid w:val="009C691F"/>
    <w:rsid w:val="009F1E0B"/>
    <w:rsid w:val="009F53CB"/>
    <w:rsid w:val="00A04692"/>
    <w:rsid w:val="00A04A27"/>
    <w:rsid w:val="00A0763B"/>
    <w:rsid w:val="00A10B05"/>
    <w:rsid w:val="00A12348"/>
    <w:rsid w:val="00A22762"/>
    <w:rsid w:val="00A26CBF"/>
    <w:rsid w:val="00A32D4B"/>
    <w:rsid w:val="00A4179D"/>
    <w:rsid w:val="00A41BC2"/>
    <w:rsid w:val="00A426F0"/>
    <w:rsid w:val="00A4365A"/>
    <w:rsid w:val="00A5166F"/>
    <w:rsid w:val="00A572E5"/>
    <w:rsid w:val="00A612BE"/>
    <w:rsid w:val="00A65847"/>
    <w:rsid w:val="00A75DA3"/>
    <w:rsid w:val="00A94D29"/>
    <w:rsid w:val="00A962B5"/>
    <w:rsid w:val="00A9715B"/>
    <w:rsid w:val="00AA0FB2"/>
    <w:rsid w:val="00AA15FA"/>
    <w:rsid w:val="00AB1720"/>
    <w:rsid w:val="00AB1B4E"/>
    <w:rsid w:val="00AB7D72"/>
    <w:rsid w:val="00AC4DC8"/>
    <w:rsid w:val="00AC5843"/>
    <w:rsid w:val="00AD303F"/>
    <w:rsid w:val="00AD3F48"/>
    <w:rsid w:val="00AF5939"/>
    <w:rsid w:val="00AF7DBA"/>
    <w:rsid w:val="00B06138"/>
    <w:rsid w:val="00B07B2C"/>
    <w:rsid w:val="00B13E47"/>
    <w:rsid w:val="00B1576D"/>
    <w:rsid w:val="00B26F01"/>
    <w:rsid w:val="00B309AF"/>
    <w:rsid w:val="00B309E4"/>
    <w:rsid w:val="00B3351F"/>
    <w:rsid w:val="00B37359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C0872"/>
    <w:rsid w:val="00BC1F2F"/>
    <w:rsid w:val="00BC2736"/>
    <w:rsid w:val="00BC5BF1"/>
    <w:rsid w:val="00BC6DC6"/>
    <w:rsid w:val="00BD31FA"/>
    <w:rsid w:val="00BD3D4B"/>
    <w:rsid w:val="00BF30A4"/>
    <w:rsid w:val="00C01A86"/>
    <w:rsid w:val="00C11EDC"/>
    <w:rsid w:val="00C15F8B"/>
    <w:rsid w:val="00C16A9E"/>
    <w:rsid w:val="00C16C6E"/>
    <w:rsid w:val="00C22C5D"/>
    <w:rsid w:val="00C3108F"/>
    <w:rsid w:val="00C41CCD"/>
    <w:rsid w:val="00C43211"/>
    <w:rsid w:val="00C45FB2"/>
    <w:rsid w:val="00C56612"/>
    <w:rsid w:val="00C576C4"/>
    <w:rsid w:val="00C607CE"/>
    <w:rsid w:val="00C67A29"/>
    <w:rsid w:val="00C72A5D"/>
    <w:rsid w:val="00C740D5"/>
    <w:rsid w:val="00C84A00"/>
    <w:rsid w:val="00C91BBD"/>
    <w:rsid w:val="00C92B98"/>
    <w:rsid w:val="00CB0909"/>
    <w:rsid w:val="00CB1455"/>
    <w:rsid w:val="00CB2BE8"/>
    <w:rsid w:val="00CC3C0C"/>
    <w:rsid w:val="00CC685B"/>
    <w:rsid w:val="00CD081C"/>
    <w:rsid w:val="00CD1589"/>
    <w:rsid w:val="00CD38ED"/>
    <w:rsid w:val="00CD503A"/>
    <w:rsid w:val="00CE7723"/>
    <w:rsid w:val="00CF02F0"/>
    <w:rsid w:val="00CF292E"/>
    <w:rsid w:val="00CF79FC"/>
    <w:rsid w:val="00D0040D"/>
    <w:rsid w:val="00D01873"/>
    <w:rsid w:val="00D17A09"/>
    <w:rsid w:val="00D2199B"/>
    <w:rsid w:val="00D2754B"/>
    <w:rsid w:val="00D36924"/>
    <w:rsid w:val="00D41563"/>
    <w:rsid w:val="00D50C6B"/>
    <w:rsid w:val="00D60C9B"/>
    <w:rsid w:val="00D70487"/>
    <w:rsid w:val="00D84BCB"/>
    <w:rsid w:val="00D857D3"/>
    <w:rsid w:val="00D964C2"/>
    <w:rsid w:val="00D96533"/>
    <w:rsid w:val="00D96661"/>
    <w:rsid w:val="00DA22F0"/>
    <w:rsid w:val="00DA6443"/>
    <w:rsid w:val="00DA73AD"/>
    <w:rsid w:val="00DA7959"/>
    <w:rsid w:val="00DB666D"/>
    <w:rsid w:val="00DB79E1"/>
    <w:rsid w:val="00DC43E0"/>
    <w:rsid w:val="00DD222E"/>
    <w:rsid w:val="00DD3D33"/>
    <w:rsid w:val="00DE5306"/>
    <w:rsid w:val="00DF5EE0"/>
    <w:rsid w:val="00DF7F0A"/>
    <w:rsid w:val="00E121CC"/>
    <w:rsid w:val="00E14D90"/>
    <w:rsid w:val="00E15595"/>
    <w:rsid w:val="00E17500"/>
    <w:rsid w:val="00E26F0E"/>
    <w:rsid w:val="00E34D4E"/>
    <w:rsid w:val="00E44031"/>
    <w:rsid w:val="00E57D5A"/>
    <w:rsid w:val="00E64E8D"/>
    <w:rsid w:val="00E653E1"/>
    <w:rsid w:val="00E86CC5"/>
    <w:rsid w:val="00E87465"/>
    <w:rsid w:val="00E8778B"/>
    <w:rsid w:val="00E9686C"/>
    <w:rsid w:val="00E96D58"/>
    <w:rsid w:val="00EA00E8"/>
    <w:rsid w:val="00EA043B"/>
    <w:rsid w:val="00EA1DB0"/>
    <w:rsid w:val="00EA401F"/>
    <w:rsid w:val="00EB257A"/>
    <w:rsid w:val="00EB3A84"/>
    <w:rsid w:val="00EB5EEF"/>
    <w:rsid w:val="00EB760A"/>
    <w:rsid w:val="00EC13B2"/>
    <w:rsid w:val="00EC21DA"/>
    <w:rsid w:val="00EC5E98"/>
    <w:rsid w:val="00EC6AC4"/>
    <w:rsid w:val="00ED22F4"/>
    <w:rsid w:val="00ED6D28"/>
    <w:rsid w:val="00EE738C"/>
    <w:rsid w:val="00EF14DF"/>
    <w:rsid w:val="00EF585E"/>
    <w:rsid w:val="00F04E86"/>
    <w:rsid w:val="00F12762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816E4"/>
    <w:rsid w:val="00F8228E"/>
    <w:rsid w:val="00F83368"/>
    <w:rsid w:val="00F92EB1"/>
    <w:rsid w:val="00F936A4"/>
    <w:rsid w:val="00F97271"/>
    <w:rsid w:val="00FA033D"/>
    <w:rsid w:val="00FB5BB4"/>
    <w:rsid w:val="00FC0C00"/>
    <w:rsid w:val="00FC2C18"/>
    <w:rsid w:val="00FC3F77"/>
    <w:rsid w:val="00FD01B9"/>
    <w:rsid w:val="00FE3BBF"/>
    <w:rsid w:val="00FE3DF9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3AC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3B73AC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3B73AC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3B73AC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B73AC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rsid w:val="00A04692"/>
    <w:pPr>
      <w:spacing w:before="100" w:beforeAutospacing="1" w:after="100" w:afterAutospacing="1" w:line="240" w:lineRule="auto"/>
    </w:pPr>
    <w:rPr>
      <w:sz w:val="24"/>
    </w:rPr>
  </w:style>
  <w:style w:type="character" w:customStyle="1" w:styleId="apple-converted-space">
    <w:name w:val="apple-converted-space"/>
    <w:basedOn w:val="a0"/>
    <w:uiPriority w:val="99"/>
    <w:rsid w:val="00A04692"/>
    <w:rPr>
      <w:rFonts w:cs="Times New Roman"/>
    </w:rPr>
  </w:style>
  <w:style w:type="character" w:styleId="a7">
    <w:name w:val="Strong"/>
    <w:basedOn w:val="a0"/>
    <w:uiPriority w:val="99"/>
    <w:qFormat/>
    <w:rsid w:val="00A04692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A04692"/>
    <w:rPr>
      <w:rFonts w:cs="Times New Roman"/>
      <w:i/>
      <w:iCs/>
    </w:rPr>
  </w:style>
  <w:style w:type="paragraph" w:styleId="a9">
    <w:name w:val="List Paragraph"/>
    <w:aliases w:val="HotarirePunct1"/>
    <w:basedOn w:val="a"/>
    <w:link w:val="aa"/>
    <w:uiPriority w:val="34"/>
    <w:qFormat/>
    <w:rsid w:val="00C45F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a">
    <w:name w:val="Абзац списка Знак"/>
    <w:aliases w:val="HotarirePunct1 Знак"/>
    <w:link w:val="a9"/>
    <w:uiPriority w:val="34"/>
    <w:locked/>
    <w:rsid w:val="00C45FB2"/>
    <w:rPr>
      <w:rFonts w:ascii="Calibri" w:eastAsia="Calibri" w:hAnsi="Calibri"/>
      <w:sz w:val="22"/>
      <w:szCs w:val="22"/>
      <w:lang w:val="en-US" w:eastAsia="en-US"/>
    </w:rPr>
  </w:style>
  <w:style w:type="table" w:customStyle="1" w:styleId="30">
    <w:name w:val="Сетка таблицы3"/>
    <w:basedOn w:val="a1"/>
    <w:next w:val="a5"/>
    <w:uiPriority w:val="39"/>
    <w:rsid w:val="00C45FB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C45FB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9</cp:revision>
  <cp:lastPrinted>2018-11-30T06:56:00Z</cp:lastPrinted>
  <dcterms:created xsi:type="dcterms:W3CDTF">2018-11-19T15:38:00Z</dcterms:created>
  <dcterms:modified xsi:type="dcterms:W3CDTF">2018-11-30T12:17:00Z</dcterms:modified>
</cp:coreProperties>
</file>